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中国中信金融资产管理股份有限公司</w:t>
      </w:r>
      <w:r>
        <w:rPr>
          <w:rFonts w:hint="eastAsia" w:eastAsia="仿宋_GB2312"/>
          <w:sz w:val="32"/>
          <w:szCs w:val="32"/>
          <w:lang w:val="en-US" w:eastAsia="zh-CN"/>
        </w:rPr>
        <w:t>贵州省分公司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</w:rPr>
        <w:t>询价采购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EC"/>
    <w:rsid w:val="001034D0"/>
    <w:rsid w:val="003740BD"/>
    <w:rsid w:val="00BD17E8"/>
    <w:rsid w:val="00CD14EC"/>
    <w:rsid w:val="4EF51B09"/>
    <w:rsid w:val="5ABB09D3"/>
    <w:rsid w:val="6F940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2024-11-05T06:15:00Z</dcterms:created>
  <dc:creator>liuminyi</dc:creator>
  <cp:lastModifiedBy>孙彦龙</cp:lastModifiedBy>
  <dcterms:modified xsi:type="dcterms:W3CDTF">2025-11-25T07:07:15Z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E0293953B784452D95B7A36ABB435424</vt:lpwstr>
  </property>
</Properties>
</file>