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中信金资致远企业管理有限公司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8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2025-10-29T02:25:42Z</dcterms:created>
  <dc:creator>limingyang</dc:creator>
  <cp:lastModifiedBy>李明洋</cp:lastModifiedBy>
  <dcterms:modified xsi:type="dcterms:W3CDTF">2025-10-29T02:25:50Z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AA729C30DE044899A7559F6876A56E2F</vt:lpwstr>
  </property>
</Properties>
</file>