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0"/>
        <w:jc w:val="center"/>
        <w:outlineLvl w:val="0"/>
        <w:rPr>
          <w:rFonts w:ascii="微软雅黑" w:hAnsi="微软雅黑" w:eastAsia="微软雅黑" w:cs="微软雅黑"/>
          <w:i w:val="0"/>
          <w:iCs w:val="0"/>
          <w:caps w:val="0"/>
          <w:color w:val="000000"/>
          <w:spacing w:val="0"/>
          <w:sz w:val="27"/>
          <w:szCs w:val="27"/>
        </w:rPr>
      </w:pPr>
      <w:r>
        <w:rPr>
          <w:rFonts w:hint="eastAsia"/>
          <w:lang w:eastAsia="zh-CN"/>
        </w:rPr>
        <w:tab/>
      </w:r>
      <w:r>
        <w:rPr>
          <w:rStyle w:val="9"/>
          <w:rFonts w:hint="eastAsia" w:ascii="方正小标宋简体" w:hAnsi="方正小标宋简体" w:eastAsia="方正小标宋简体" w:cs="方正小标宋简体"/>
          <w:b w:val="0"/>
          <w:bCs w:val="0"/>
          <w:i w:val="0"/>
          <w:iCs w:val="0"/>
          <w:caps w:val="0"/>
          <w:color w:val="auto"/>
          <w:spacing w:val="0"/>
          <w:sz w:val="36"/>
          <w:szCs w:val="36"/>
          <w:shd w:val="clear" w:fill="FFFFFF"/>
        </w:rPr>
        <w:t>竞 买 须 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5" w:lineRule="atLeast"/>
        <w:ind w:left="0" w:right="0" w:firstLine="555"/>
        <w:jc w:val="left"/>
        <w:rPr>
          <w:rFonts w:hint="eastAsia" w:ascii="宋体" w:hAnsi="宋体" w:eastAsia="宋体" w:cs="宋体"/>
          <w:i w:val="0"/>
          <w:iCs w:val="0"/>
          <w:caps w:val="0"/>
          <w:color w:val="000000"/>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5" w:lineRule="atLeast"/>
        <w:ind w:left="0" w:right="0" w:firstLine="555"/>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中国中信金融资产管理股份有限公司吉林省分公司（以下简称“中信金资公司”）定于202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31</w:t>
      </w:r>
      <w:r>
        <w:rPr>
          <w:rFonts w:hint="eastAsia" w:ascii="仿宋_GB2312" w:hAnsi="仿宋_GB2312" w:eastAsia="仿宋_GB2312" w:cs="仿宋_GB2312"/>
          <w:i w:val="0"/>
          <w:iCs w:val="0"/>
          <w:caps w:val="0"/>
          <w:color w:val="000000"/>
          <w:spacing w:val="0"/>
          <w:sz w:val="32"/>
          <w:szCs w:val="32"/>
          <w:shd w:val="clear" w:fill="FFFFFF"/>
        </w:rPr>
        <w:t>日</w:t>
      </w:r>
      <w:r>
        <w:rPr>
          <w:rFonts w:hint="eastAsia" w:ascii="仿宋_GB2312" w:hAnsi="仿宋_GB2312" w:eastAsia="仿宋_GB2312" w:cs="仿宋_GB2312"/>
          <w:i w:val="0"/>
          <w:iCs w:val="0"/>
          <w:caps w:val="0"/>
          <w:color w:val="000000"/>
          <w:spacing w:val="0"/>
          <w:sz w:val="32"/>
          <w:szCs w:val="32"/>
          <w:shd w:val="clear" w:fill="FFFFFF"/>
          <w:lang w:val="en-US" w:eastAsia="zh-CN"/>
        </w:rPr>
        <w:t>9</w:t>
      </w:r>
      <w:r>
        <w:rPr>
          <w:rFonts w:hint="eastAsia" w:ascii="仿宋_GB2312" w:hAnsi="仿宋_GB2312" w:eastAsia="仿宋_GB2312" w:cs="仿宋_GB2312"/>
          <w:i w:val="0"/>
          <w:iCs w:val="0"/>
          <w:caps w:val="0"/>
          <w:color w:val="000000"/>
          <w:spacing w:val="0"/>
          <w:sz w:val="32"/>
          <w:szCs w:val="32"/>
          <w:shd w:val="clear" w:fill="FFFFFF"/>
        </w:rPr>
        <w:t>:00时起至202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31</w:t>
      </w:r>
      <w:r>
        <w:rPr>
          <w:rFonts w:hint="eastAsia" w:ascii="仿宋_GB2312" w:hAnsi="仿宋_GB2312" w:eastAsia="仿宋_GB2312" w:cs="仿宋_GB2312"/>
          <w:i w:val="0"/>
          <w:iCs w:val="0"/>
          <w:caps w:val="0"/>
          <w:color w:val="000000"/>
          <w:spacing w:val="0"/>
          <w:sz w:val="32"/>
          <w:szCs w:val="32"/>
          <w:shd w:val="clear" w:fill="FFFFFF"/>
        </w:rPr>
        <w:t>日</w:t>
      </w:r>
      <w:r>
        <w:rPr>
          <w:rFonts w:hint="eastAsia" w:ascii="仿宋_GB2312" w:hAnsi="仿宋_GB2312" w:eastAsia="仿宋_GB2312" w:cs="仿宋_GB2312"/>
          <w:i w:val="0"/>
          <w:iCs w:val="0"/>
          <w:caps w:val="0"/>
          <w:color w:val="000000"/>
          <w:spacing w:val="0"/>
          <w:sz w:val="32"/>
          <w:szCs w:val="32"/>
          <w:shd w:val="clear" w:fill="FFFFFF"/>
          <w:lang w:val="en-US" w:eastAsia="zh-CN"/>
        </w:rPr>
        <w:t>10</w:t>
      </w:r>
      <w:r>
        <w:rPr>
          <w:rFonts w:hint="eastAsia" w:ascii="仿宋_GB2312" w:hAnsi="仿宋_GB2312" w:eastAsia="仿宋_GB2312" w:cs="仿宋_GB2312"/>
          <w:i w:val="0"/>
          <w:iCs w:val="0"/>
          <w:caps w:val="0"/>
          <w:color w:val="000000"/>
          <w:spacing w:val="0"/>
          <w:sz w:val="32"/>
          <w:szCs w:val="32"/>
          <w:shd w:val="clear" w:fill="FFFFFF"/>
        </w:rPr>
        <w:t>:00时止（延时除外），在京东网资产竞价网络平台上(网址：https://auction.jd.com</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进行公开竞价活动，对</w:t>
      </w:r>
      <w:r>
        <w:rPr>
          <w:rFonts w:hint="eastAsia" w:ascii="仿宋_GB2312" w:hAnsi="Calibri" w:eastAsia="仿宋_GB2312"/>
          <w:color w:val="000000"/>
          <w:sz w:val="32"/>
          <w:szCs w:val="32"/>
          <w:lang w:eastAsia="zh-CN"/>
        </w:rPr>
        <w:t>吉林省鼎力电力工程有限责任公司</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lang w:val="en-US" w:eastAsia="zh-CN"/>
        </w:rPr>
        <w:t>1户</w:t>
      </w:r>
      <w:r>
        <w:rPr>
          <w:rFonts w:hint="eastAsia" w:ascii="仿宋_GB2312" w:hAnsi="仿宋_GB2312" w:eastAsia="仿宋_GB2312" w:cs="仿宋_GB2312"/>
          <w:color w:val="000000"/>
          <w:sz w:val="32"/>
          <w:szCs w:val="32"/>
        </w:rPr>
        <w:t>债权</w:t>
      </w:r>
      <w:r>
        <w:rPr>
          <w:rFonts w:hint="eastAsia" w:ascii="仿宋_GB2312" w:hAnsi="仿宋_GB2312" w:eastAsia="仿宋_GB2312" w:cs="仿宋_GB2312"/>
          <w:color w:val="000000"/>
          <w:sz w:val="32"/>
          <w:szCs w:val="32"/>
          <w:lang w:eastAsia="zh-CN"/>
        </w:rPr>
        <w:t>资产</w:t>
      </w:r>
      <w:r>
        <w:rPr>
          <w:rFonts w:hint="eastAsia" w:ascii="仿宋_GB2312" w:hAnsi="仿宋_GB2312" w:eastAsia="仿宋_GB2312" w:cs="仿宋_GB2312"/>
          <w:color w:val="000000"/>
          <w:sz w:val="32"/>
          <w:szCs w:val="32"/>
        </w:rPr>
        <w:t>进行公开竞价转让</w:t>
      </w:r>
      <w:r>
        <w:rPr>
          <w:rFonts w:hint="eastAsia" w:ascii="仿宋_GB2312" w:hAnsi="仿宋_GB2312" w:eastAsia="仿宋_GB2312" w:cs="仿宋_GB2312"/>
          <w:i w:val="0"/>
          <w:iCs w:val="0"/>
          <w:caps w:val="0"/>
          <w:color w:val="000000"/>
          <w:spacing w:val="0"/>
          <w:sz w:val="32"/>
          <w:szCs w:val="32"/>
          <w:shd w:val="clear" w:fill="FFFFFF"/>
        </w:rPr>
        <w:t>。现就有关的网上竞价事宜敬告各位竞买人：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5" w:lineRule="atLeast"/>
        <w:ind w:left="0" w:right="0" w:firstLine="555"/>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竞买方在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一、拟转让的标的资产状况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80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标的资产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中信金资公司对吉林省鼎力电力工程有限责任公司的</w:t>
      </w:r>
      <w:r>
        <w:rPr>
          <w:rFonts w:hint="eastAsia" w:ascii="仿宋_GB2312" w:hAnsi="仿宋_GB2312" w:eastAsia="仿宋_GB2312" w:cs="仿宋_GB2312"/>
          <w:sz w:val="32"/>
          <w:szCs w:val="32"/>
        </w:rPr>
        <w:t>债权资产</w:t>
      </w:r>
      <w:r>
        <w:rPr>
          <w:rFonts w:hint="eastAsia" w:ascii="仿宋_GB2312" w:hAnsi="仿宋_GB2312" w:eastAsia="仿宋_GB2312" w:cs="仿宋_GB2312"/>
          <w:bCs w:val="0"/>
          <w:kern w:val="2"/>
          <w:sz w:val="32"/>
          <w:szCs w:val="32"/>
          <w:lang w:val="en-US" w:eastAsia="zh-CN"/>
        </w:rPr>
        <w:t>（包括但不限于</w:t>
      </w:r>
      <w:r>
        <w:rPr>
          <w:rFonts w:hint="eastAsia" w:ascii="仿宋_GB2312" w:hAnsi="仿宋_GB2312" w:eastAsia="仿宋_GB2312" w:cs="仿宋_GB2312"/>
          <w:bCs w:val="0"/>
          <w:kern w:val="2"/>
          <w:sz w:val="32"/>
          <w:szCs w:val="32"/>
        </w:rPr>
        <w:t>债权</w:t>
      </w:r>
      <w:r>
        <w:rPr>
          <w:rFonts w:hint="eastAsia" w:ascii="仿宋_GB2312" w:hAnsi="仿宋_GB2312" w:eastAsia="仿宋_GB2312" w:cs="仿宋_GB2312"/>
          <w:bCs w:val="0"/>
          <w:kern w:val="2"/>
          <w:sz w:val="32"/>
          <w:szCs w:val="32"/>
          <w:lang w:val="en-US" w:eastAsia="zh-CN"/>
        </w:rPr>
        <w:t>资产、</w:t>
      </w:r>
      <w:r>
        <w:rPr>
          <w:rFonts w:hint="eastAsia" w:ascii="仿宋_GB2312" w:hAnsi="仿宋_GB2312" w:eastAsia="仿宋_GB2312" w:cs="仿宋_GB2312"/>
          <w:bCs w:val="0"/>
          <w:kern w:val="2"/>
          <w:sz w:val="32"/>
          <w:szCs w:val="32"/>
        </w:rPr>
        <w:t>物权</w:t>
      </w:r>
      <w:r>
        <w:rPr>
          <w:rFonts w:hint="eastAsia" w:ascii="仿宋_GB2312" w:hAnsi="仿宋_GB2312" w:eastAsia="仿宋_GB2312" w:cs="仿宋_GB2312"/>
          <w:bCs w:val="0"/>
          <w:kern w:val="2"/>
          <w:sz w:val="32"/>
          <w:szCs w:val="32"/>
          <w:lang w:val="en-US" w:eastAsia="zh-CN"/>
        </w:rPr>
        <w:t>资产及由此转化的其他相关权益</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val="en-US" w:eastAsia="zh-CN"/>
        </w:rPr>
        <w:t>截至</w:t>
      </w:r>
      <w:r>
        <w:rPr>
          <w:rFonts w:hint="eastAsia" w:ascii="仿宋_GB2312" w:hAnsi="仿宋_GB2312" w:eastAsia="仿宋_GB2312" w:cs="仿宋_GB2312"/>
          <w:sz w:val="32"/>
          <w:szCs w:val="32"/>
          <w:highlight w:val="none"/>
          <w:lang w:eastAsia="zh-CN"/>
        </w:rPr>
        <w:t>基准日</w:t>
      </w:r>
      <w:r>
        <w:rPr>
          <w:rFonts w:hint="eastAsia" w:ascii="仿宋_GB2312" w:hAnsi="仿宋_GB2312" w:eastAsia="仿宋_GB2312" w:cs="仿宋_GB2312"/>
          <w:b w:val="0"/>
          <w:bCs w:val="0"/>
          <w:sz w:val="32"/>
          <w:szCs w:val="32"/>
          <w:lang w:val="en-US" w:eastAsia="zh-CN"/>
        </w:rPr>
        <w:t>2025年7月31日</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中信金资公司拥有对吉林省鼎力电力工程有限责任公司1户债权资产，其中：本金7,390万元，债权利息12,998.40万元，其他代垫费用126.22万元。</w:t>
      </w:r>
      <w:r>
        <w:rPr>
          <w:rFonts w:hint="eastAsia" w:ascii="仿宋_GB2312" w:hAnsi="仿宋_GB2312" w:eastAsia="仿宋_GB2312" w:cs="仿宋_GB2312"/>
          <w:sz w:val="32"/>
          <w:szCs w:val="32"/>
          <w:lang w:eastAsia="zh-CN"/>
        </w:rPr>
        <w:t>债权资产明细</w:t>
      </w:r>
      <w:r>
        <w:rPr>
          <w:rFonts w:hint="eastAsia" w:ascii="仿宋_GB2312" w:hAnsi="仿宋_GB2312" w:eastAsia="仿宋_GB2312" w:cs="仿宋_GB2312"/>
          <w:sz w:val="32"/>
          <w:szCs w:val="32"/>
          <w:lang w:val="en-US" w:eastAsia="zh-CN"/>
        </w:rPr>
        <w:t>情况如下表：</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outlineLvl w:val="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5"/>
        <w:gridCol w:w="690"/>
        <w:gridCol w:w="1050"/>
        <w:gridCol w:w="765"/>
        <w:gridCol w:w="1065"/>
        <w:gridCol w:w="2205"/>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 w:type="pct"/>
            <w:noWrap w:val="0"/>
            <w:vAlign w:val="center"/>
          </w:tcPr>
          <w:p>
            <w:pPr>
              <w:pStyle w:val="5"/>
              <w:keepNext w:val="0"/>
              <w:keepLines w:val="0"/>
              <w:widowControl/>
              <w:suppressLineNumbers w:val="0"/>
              <w:spacing w:before="0" w:beforeAutospacing="0" w:after="0" w:afterAutospacing="0"/>
              <w:ind w:right="0"/>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序号</w:t>
            </w:r>
          </w:p>
        </w:tc>
        <w:tc>
          <w:tcPr>
            <w:tcW w:w="660" w:type="pct"/>
            <w:noWrap w:val="0"/>
            <w:vAlign w:val="center"/>
          </w:tcPr>
          <w:p>
            <w:pPr>
              <w:pStyle w:val="5"/>
              <w:keepNext w:val="0"/>
              <w:keepLines w:val="0"/>
              <w:widowControl/>
              <w:suppressLineNumbers w:val="0"/>
              <w:spacing w:before="0" w:beforeAutospacing="0" w:after="0" w:afterAutospacing="0"/>
              <w:ind w:right="0"/>
              <w:jc w:val="center"/>
              <w:rPr>
                <w:rFonts w:hint="default"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债务人名称</w:t>
            </w:r>
          </w:p>
        </w:tc>
        <w:tc>
          <w:tcPr>
            <w:tcW w:w="404" w:type="pct"/>
            <w:noWrap w:val="0"/>
            <w:vAlign w:val="center"/>
          </w:tcPr>
          <w:p>
            <w:pPr>
              <w:pStyle w:val="5"/>
              <w:keepNext w:val="0"/>
              <w:keepLines w:val="0"/>
              <w:widowControl/>
              <w:suppressLineNumbers w:val="0"/>
              <w:spacing w:before="0" w:beforeAutospacing="0" w:after="0" w:afterAutospacing="0"/>
              <w:ind w:right="0"/>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本金</w:t>
            </w:r>
          </w:p>
        </w:tc>
        <w:tc>
          <w:tcPr>
            <w:tcW w:w="616" w:type="pct"/>
            <w:noWrap w:val="0"/>
            <w:vAlign w:val="center"/>
          </w:tcPr>
          <w:p>
            <w:pPr>
              <w:pStyle w:val="5"/>
              <w:keepNext w:val="0"/>
              <w:keepLines w:val="0"/>
              <w:widowControl/>
              <w:suppressLineNumbers w:val="0"/>
              <w:spacing w:before="0" w:beforeAutospacing="0" w:after="0" w:afterAutospacing="0"/>
              <w:ind w:right="0"/>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利息</w:t>
            </w:r>
          </w:p>
        </w:tc>
        <w:tc>
          <w:tcPr>
            <w:tcW w:w="448" w:type="pct"/>
            <w:noWrap w:val="0"/>
            <w:vAlign w:val="center"/>
          </w:tcPr>
          <w:p>
            <w:pPr>
              <w:pStyle w:val="5"/>
              <w:keepNext w:val="0"/>
              <w:keepLines w:val="0"/>
              <w:widowControl/>
              <w:suppressLineNumbers w:val="0"/>
              <w:spacing w:before="0" w:beforeAutospacing="0" w:after="0" w:afterAutospacing="0"/>
              <w:ind w:right="0"/>
              <w:jc w:val="center"/>
              <w:rPr>
                <w:rFonts w:hint="default" w:ascii="宋体" w:hAnsi="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代垫费用</w:t>
            </w:r>
          </w:p>
        </w:tc>
        <w:tc>
          <w:tcPr>
            <w:tcW w:w="624" w:type="pct"/>
            <w:noWrap w:val="0"/>
            <w:vAlign w:val="center"/>
          </w:tcPr>
          <w:p>
            <w:pPr>
              <w:pStyle w:val="5"/>
              <w:keepNext w:val="0"/>
              <w:keepLines w:val="0"/>
              <w:widowControl/>
              <w:suppressLineNumbers w:val="0"/>
              <w:spacing w:before="0" w:beforeAutospacing="0" w:after="0" w:afterAutospacing="0"/>
              <w:ind w:right="0"/>
              <w:jc w:val="center"/>
              <w:rPr>
                <w:rFonts w:hint="default"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债权合计</w:t>
            </w:r>
          </w:p>
        </w:tc>
        <w:tc>
          <w:tcPr>
            <w:tcW w:w="1293" w:type="pct"/>
            <w:noWrap w:val="0"/>
            <w:vAlign w:val="center"/>
          </w:tcPr>
          <w:p>
            <w:pPr>
              <w:pStyle w:val="5"/>
              <w:keepNext w:val="0"/>
              <w:keepLines w:val="0"/>
              <w:widowControl/>
              <w:suppressLineNumbers w:val="0"/>
              <w:spacing w:before="0" w:beforeAutospacing="0" w:after="0" w:afterAutospacing="0"/>
              <w:ind w:right="0"/>
              <w:jc w:val="center"/>
              <w:rPr>
                <w:rFonts w:hint="eastAsia" w:ascii="宋体" w:hAnsi="宋体" w:eastAsia="宋体" w:cs="宋体"/>
                <w:b/>
                <w:bCs/>
                <w:color w:val="000000"/>
                <w:sz w:val="21"/>
                <w:szCs w:val="21"/>
                <w:vertAlign w:val="baseline"/>
              </w:rPr>
            </w:pPr>
            <w:r>
              <w:rPr>
                <w:rFonts w:hint="eastAsia" w:ascii="宋体" w:hAnsi="宋体" w:eastAsia="宋体" w:cs="宋体"/>
                <w:b/>
                <w:bCs/>
                <w:color w:val="000000"/>
                <w:sz w:val="21"/>
                <w:szCs w:val="21"/>
                <w:vertAlign w:val="baseline"/>
              </w:rPr>
              <w:t>抵（质）押物情况</w:t>
            </w:r>
          </w:p>
        </w:tc>
        <w:tc>
          <w:tcPr>
            <w:tcW w:w="647" w:type="pct"/>
            <w:noWrap w:val="0"/>
            <w:vAlign w:val="center"/>
          </w:tcPr>
          <w:p>
            <w:pPr>
              <w:pStyle w:val="5"/>
              <w:keepNext w:val="0"/>
              <w:keepLines w:val="0"/>
              <w:widowControl/>
              <w:suppressLineNumbers w:val="0"/>
              <w:spacing w:before="0" w:beforeAutospacing="0" w:after="0" w:afterAutospacing="0"/>
              <w:ind w:right="0"/>
              <w:jc w:val="center"/>
              <w:rPr>
                <w:rFonts w:hint="eastAsia" w:ascii="宋体" w:hAnsi="宋体" w:eastAsia="宋体" w:cs="宋体"/>
                <w:b/>
                <w:bCs/>
                <w:color w:val="000000"/>
                <w:sz w:val="21"/>
                <w:szCs w:val="21"/>
                <w:vertAlign w:val="baseline"/>
              </w:rPr>
            </w:pPr>
            <w:r>
              <w:rPr>
                <w:rFonts w:hint="eastAsia" w:ascii="宋体" w:hAnsi="宋体" w:eastAsia="宋体" w:cs="宋体"/>
                <w:b/>
                <w:bCs/>
                <w:color w:val="000000"/>
                <w:sz w:val="21"/>
                <w:szCs w:val="21"/>
                <w:vertAlign w:val="baseline"/>
              </w:rPr>
              <w:t>担保人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吉林省鼎力电力工程有限责任公司</w:t>
            </w:r>
          </w:p>
        </w:tc>
        <w:tc>
          <w:tcPr>
            <w:tcW w:w="404"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7,390</w:t>
            </w: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2,998</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40</w:t>
            </w:r>
          </w:p>
        </w:tc>
        <w:tc>
          <w:tcPr>
            <w:tcW w:w="44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126</w:t>
            </w:r>
            <w:r>
              <w:rPr>
                <w:rFonts w:hint="eastAsia" w:ascii="宋体" w:hAnsi="宋体" w:eastAsia="宋体" w:cs="宋体"/>
                <w:i w:val="0"/>
                <w:color w:val="000000"/>
                <w:kern w:val="0"/>
                <w:sz w:val="18"/>
                <w:szCs w:val="18"/>
                <w:u w:val="none"/>
                <w:lang w:val="en-US" w:eastAsia="zh-CN" w:bidi="ar"/>
              </w:rPr>
              <w:t>.22</w:t>
            </w:r>
          </w:p>
        </w:tc>
        <w:tc>
          <w:tcPr>
            <w:tcW w:w="624"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20,514.6</w:t>
            </w:r>
            <w:r>
              <w:rPr>
                <w:rFonts w:hint="eastAsia" w:ascii="宋体" w:hAnsi="宋体" w:cs="宋体"/>
                <w:i w:val="0"/>
                <w:color w:val="000000"/>
                <w:kern w:val="0"/>
                <w:sz w:val="18"/>
                <w:szCs w:val="18"/>
                <w:u w:val="none"/>
                <w:lang w:val="en-US" w:eastAsia="zh-CN" w:bidi="ar"/>
              </w:rPr>
              <w:t>2</w:t>
            </w:r>
          </w:p>
        </w:tc>
        <w:tc>
          <w:tcPr>
            <w:tcW w:w="1293" w:type="pct"/>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1、位于松原市前郭县宏宇富宸小区A38栋综合楼353套在建工程，建筑面积共计29,363.23㎡；2、阿拉坦社区40幢A21号8,721.33平商业，项下土地2287.60㎡。</w:t>
            </w:r>
          </w:p>
        </w:tc>
        <w:tc>
          <w:tcPr>
            <w:tcW w:w="647" w:type="pct"/>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抵押人：松原市宏宇房地产开发有限公司；保证人：张俭、石丽梅（已故）、松原市宏宇房地产开发有限公司。</w:t>
            </w:r>
          </w:p>
        </w:tc>
      </w:tr>
    </w:tbl>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注：由于计算方法等原因可能存在误差、具体债权金额、责任主体、担保情况等以相关合同、有效法律文书及相关法律法规为准。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2.上述标的资产及资产权益按现状转让。标的资产、担保情况及时效状况竞买人自行了解清楚，中信金资公司不做任何承诺，不承担任何责任。</w:t>
      </w:r>
    </w:p>
    <w:p>
      <w:pPr>
        <w:pStyle w:val="5"/>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color w:val="auto"/>
          <w:sz w:val="32"/>
          <w:szCs w:val="32"/>
          <w:lang w:eastAsia="zh-CN"/>
        </w:rPr>
        <w:t>司法执行进程：</w:t>
      </w:r>
    </w:p>
    <w:p>
      <w:pPr>
        <w:pStyle w:val="5"/>
        <w:keepNext w:val="0"/>
        <w:keepLines w:val="0"/>
        <w:widowControl/>
        <w:numPr>
          <w:ilvl w:val="0"/>
          <w:numId w:val="0"/>
        </w:numPr>
        <w:suppressLineNumbers w:val="0"/>
        <w:spacing w:before="0" w:beforeAutospacing="0" w:after="0" w:afterAutospacing="0"/>
        <w:ind w:right="0" w:rightChars="0"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eastAsia="zh-CN"/>
        </w:rPr>
        <w:t>债权资产</w:t>
      </w:r>
      <w:r>
        <w:rPr>
          <w:rFonts w:hint="eastAsia" w:ascii="仿宋_GB2312" w:hAnsi="仿宋_GB2312" w:eastAsia="仿宋_GB2312" w:cs="仿宋_GB2312"/>
          <w:color w:val="auto"/>
          <w:sz w:val="32"/>
          <w:szCs w:val="32"/>
          <w:lang w:val="en-US" w:eastAsia="zh-CN"/>
        </w:rPr>
        <w:t>已取得胜诉生效判决，处于终结本次执行状态，已首轮查封保证人松原市宏宇房地产开发有限公司持有的2宗土地使用权，土地使用权面积合计129150㎡</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outlineLvl w:val="9"/>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债权抵押、担保情况及诉讼时效状况</w:t>
      </w:r>
      <w:r>
        <w:rPr>
          <w:rFonts w:hint="eastAsia" w:ascii="仿宋_GB2312" w:hAnsi="仿宋_GB2312" w:eastAsia="仿宋_GB2312" w:cs="仿宋_GB2312"/>
          <w:b/>
          <w:bCs/>
          <w:sz w:val="32"/>
          <w:szCs w:val="32"/>
          <w:lang w:val="en-US" w:eastAsia="zh-CN"/>
        </w:rPr>
        <w:t>竞买人</w:t>
      </w:r>
      <w:r>
        <w:rPr>
          <w:rFonts w:hint="default" w:ascii="仿宋_GB2312" w:hAnsi="仿宋_GB2312" w:eastAsia="仿宋_GB2312" w:cs="仿宋_GB2312"/>
          <w:b/>
          <w:bCs/>
          <w:sz w:val="32"/>
          <w:szCs w:val="32"/>
          <w:lang w:val="en-US" w:eastAsia="zh-CN"/>
        </w:rPr>
        <w:t>自行了解清楚，</w:t>
      </w:r>
      <w:r>
        <w:rPr>
          <w:rFonts w:hint="eastAsia" w:ascii="仿宋_GB2312" w:hAnsi="仿宋_GB2312" w:eastAsia="仿宋_GB2312" w:cs="仿宋_GB2312"/>
          <w:b/>
          <w:bCs/>
          <w:sz w:val="32"/>
          <w:szCs w:val="32"/>
          <w:lang w:val="en-US" w:eastAsia="zh-CN"/>
        </w:rPr>
        <w:t>中信金资公司</w:t>
      </w:r>
      <w:r>
        <w:rPr>
          <w:rFonts w:hint="default" w:ascii="仿宋_GB2312" w:hAnsi="仿宋_GB2312" w:eastAsia="仿宋_GB2312" w:cs="仿宋_GB2312"/>
          <w:b/>
          <w:bCs/>
          <w:sz w:val="32"/>
          <w:szCs w:val="32"/>
          <w:lang w:val="en-US" w:eastAsia="zh-CN"/>
        </w:rPr>
        <w:t>不做任何承诺，不承担任何责任。</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资产存续的瑕疵情况声明如下：</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1.本次公开处置的标的资产为债权资产，标的资产同时包括基准日前发生的</w:t>
      </w:r>
      <w:r>
        <w:rPr>
          <w:rFonts w:hint="eastAsia" w:ascii="仿宋_GB2312" w:hAnsi="仿宋_GB2312" w:eastAsia="仿宋_GB2312" w:cs="仿宋_GB2312"/>
          <w:sz w:val="32"/>
          <w:szCs w:val="32"/>
          <w:lang w:eastAsia="zh-CN"/>
        </w:rPr>
        <w:t>中信金资公司</w:t>
      </w:r>
      <w:r>
        <w:rPr>
          <w:rFonts w:hint="eastAsia" w:ascii="仿宋_GB2312" w:hAnsi="仿宋_GB2312" w:eastAsia="仿宋_GB2312" w:cs="仿宋_GB2312"/>
          <w:sz w:val="32"/>
          <w:szCs w:val="32"/>
          <w:highlight w:val="none"/>
          <w:lang w:val="en-US" w:eastAsia="zh-CN"/>
        </w:rPr>
        <w:t>为实现债权而垫付的应由债务人承担的费用。其他相关权益是指：交易基准日前，</w:t>
      </w:r>
      <w:r>
        <w:rPr>
          <w:rFonts w:hint="eastAsia" w:ascii="仿宋_GB2312" w:hAnsi="仿宋_GB2312" w:eastAsia="仿宋_GB2312" w:cs="仿宋_GB2312"/>
          <w:sz w:val="32"/>
          <w:szCs w:val="32"/>
          <w:lang w:eastAsia="zh-CN"/>
        </w:rPr>
        <w:t>中信金资公司</w:t>
      </w:r>
      <w:r>
        <w:rPr>
          <w:rFonts w:hint="eastAsia" w:ascii="仿宋_GB2312" w:hAnsi="仿宋_GB2312" w:eastAsia="仿宋_GB2312" w:cs="仿宋_GB2312"/>
          <w:sz w:val="32"/>
          <w:szCs w:val="32"/>
          <w:highlight w:val="none"/>
          <w:lang w:val="en-US" w:eastAsia="zh-CN"/>
        </w:rPr>
        <w:t>因管理、处置需要可能已与部分债务人（包括担保人）达成包括但不限于和解协议、抵债协议，或接受法院抵债裁定，而这些协议并未履行完毕或抵债物未完成过户，因此，竞买人受让的对该等债务人（包括担保人）的债权，已从原始的贷款合同、担保合同项下的债权，全部或部分转化为前述协议项下或法院生效裁定所对应的权利。标的资产本身存在权利瑕疵，并存在部分或全部不能回收的风险特性以及清收、处置的困难性。</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2.上述标的资产按现状转让。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3.标的资产中债务人及担保人企业状况、偿债能力以及其他可能存在尚未发现的瑕疵或重大缺陷，由买受人自行了解清楚。</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4.标的资产受让后，按原债权文件在转让时设定的基准日以后产生的利息、罚息、违约金</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 xml:space="preserve">的请求权可能由于法律政策等规定无法继续享有。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资产可能</w:t>
      </w:r>
      <w:r>
        <w:rPr>
          <w:rFonts w:hint="eastAsia" w:ascii="仿宋_GB2312" w:hAnsi="仿宋_GB2312" w:eastAsia="仿宋_GB2312" w:cs="仿宋_GB2312"/>
          <w:sz w:val="32"/>
          <w:szCs w:val="32"/>
          <w:highlight w:val="none"/>
          <w:lang w:eastAsia="zh-CN"/>
        </w:rPr>
        <w:t>存在</w:t>
      </w:r>
      <w:r>
        <w:rPr>
          <w:rFonts w:hint="eastAsia" w:ascii="仿宋_GB2312" w:hAnsi="仿宋_GB2312" w:eastAsia="仿宋_GB2312" w:cs="仿宋_GB2312"/>
          <w:sz w:val="32"/>
          <w:szCs w:val="32"/>
          <w:highlight w:val="none"/>
        </w:rPr>
        <w:t>因计算误差或存有部分未予抵销的资产</w:t>
      </w:r>
      <w:r>
        <w:rPr>
          <w:rFonts w:hint="eastAsia" w:ascii="仿宋_GB2312" w:hAnsi="仿宋_GB2312" w:eastAsia="仿宋_GB2312" w:cs="仿宋_GB2312"/>
          <w:sz w:val="32"/>
          <w:szCs w:val="32"/>
          <w:highlight w:val="none"/>
          <w:lang w:eastAsia="zh-CN"/>
        </w:rPr>
        <w:t>等原因</w:t>
      </w:r>
      <w:r>
        <w:rPr>
          <w:rFonts w:hint="eastAsia" w:ascii="仿宋_GB2312" w:hAnsi="仿宋_GB2312" w:eastAsia="仿宋_GB2312" w:cs="仿宋_GB2312"/>
          <w:sz w:val="32"/>
          <w:szCs w:val="32"/>
          <w:highlight w:val="none"/>
        </w:rPr>
        <w:t>导致实际接收的资产金额与</w:t>
      </w:r>
      <w:r>
        <w:rPr>
          <w:rFonts w:hint="eastAsia" w:ascii="仿宋_GB2312" w:hAnsi="仿宋_GB2312" w:eastAsia="仿宋_GB2312" w:cs="仿宋_GB2312"/>
          <w:sz w:val="32"/>
          <w:szCs w:val="32"/>
          <w:highlight w:val="none"/>
          <w:lang w:eastAsia="zh-CN"/>
        </w:rPr>
        <w:t>标的资产表述</w:t>
      </w:r>
      <w:r>
        <w:rPr>
          <w:rFonts w:hint="eastAsia" w:ascii="仿宋_GB2312" w:hAnsi="仿宋_GB2312" w:eastAsia="仿宋_GB2312" w:cs="仿宋_GB2312"/>
          <w:sz w:val="32"/>
          <w:szCs w:val="32"/>
          <w:highlight w:val="none"/>
        </w:rPr>
        <w:t>的转让金额不完全一致。</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买受人</w:t>
      </w:r>
      <w:r>
        <w:rPr>
          <w:rFonts w:hint="eastAsia" w:ascii="仿宋_GB2312" w:hAnsi="仿宋_GB2312" w:eastAsia="仿宋_GB2312" w:cs="仿宋_GB2312"/>
          <w:sz w:val="32"/>
          <w:szCs w:val="32"/>
          <w:highlight w:val="none"/>
        </w:rPr>
        <w:t>受让的</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 xml:space="preserve">资产及其从权利可能存在的瑕疵或重大缺陷包括但不限于下列一项或多项：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资产的债务人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担保人或其他责任主体可能存在破产、</w:t>
      </w:r>
      <w:r>
        <w:rPr>
          <w:rFonts w:hint="eastAsia" w:ascii="仿宋_GB2312" w:hAnsi="仿宋_GB2312" w:eastAsia="仿宋_GB2312" w:cs="仿宋_GB2312"/>
          <w:sz w:val="32"/>
          <w:szCs w:val="32"/>
          <w:highlight w:val="none"/>
          <w:lang w:val="en-US" w:eastAsia="zh-CN"/>
        </w:rPr>
        <w:t>清算、</w:t>
      </w:r>
      <w:r>
        <w:rPr>
          <w:rFonts w:hint="eastAsia" w:ascii="仿宋_GB2312" w:hAnsi="仿宋_GB2312" w:eastAsia="仿宋_GB2312" w:cs="仿宋_GB2312"/>
          <w:sz w:val="32"/>
          <w:szCs w:val="32"/>
          <w:highlight w:val="none"/>
        </w:rPr>
        <w:t>解散、</w:t>
      </w:r>
      <w:r>
        <w:rPr>
          <w:rFonts w:hint="eastAsia" w:ascii="仿宋_GB2312" w:hAnsi="仿宋_GB2312" w:eastAsia="仿宋_GB2312" w:cs="仿宋_GB2312"/>
          <w:sz w:val="32"/>
          <w:szCs w:val="32"/>
          <w:highlight w:val="none"/>
          <w:lang w:val="en-US" w:eastAsia="zh-CN"/>
        </w:rPr>
        <w:t>合并、分立、</w:t>
      </w:r>
      <w:r>
        <w:rPr>
          <w:rFonts w:hint="eastAsia" w:ascii="仿宋_GB2312" w:hAnsi="仿宋_GB2312" w:eastAsia="仿宋_GB2312" w:cs="仿宋_GB2312"/>
          <w:sz w:val="32"/>
          <w:szCs w:val="32"/>
          <w:highlight w:val="none"/>
        </w:rPr>
        <w:t>撤销、注销、吊销、歇业、关闭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相关主体或其股东/实控人/法定代表人死亡、失踪（</w:t>
      </w:r>
      <w:r>
        <w:rPr>
          <w:rFonts w:hint="eastAsia" w:ascii="仿宋_GB2312" w:hAnsi="仿宋_GB2312" w:eastAsia="仿宋_GB2312" w:cs="仿宋_GB2312"/>
          <w:sz w:val="32"/>
          <w:szCs w:val="32"/>
          <w:highlight w:val="none"/>
        </w:rPr>
        <w:t>下落不明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涉及刑事犯罪</w:t>
      </w:r>
      <w:r>
        <w:rPr>
          <w:rFonts w:hint="eastAsia" w:ascii="仿宋_GB2312" w:hAnsi="仿宋_GB2312" w:eastAsia="仿宋_GB2312" w:cs="仿宋_GB2312"/>
          <w:sz w:val="32"/>
          <w:szCs w:val="32"/>
          <w:highlight w:val="none"/>
        </w:rPr>
        <w:t>以及其他主体瑕疵的</w:t>
      </w:r>
      <w:r>
        <w:rPr>
          <w:rFonts w:hint="eastAsia" w:ascii="仿宋_GB2312" w:hAnsi="仿宋_GB2312" w:eastAsia="仿宋_GB2312" w:cs="仿宋_GB2312"/>
          <w:sz w:val="32"/>
          <w:szCs w:val="32"/>
          <w:highlight w:val="none"/>
          <w:lang w:eastAsia="zh-CN"/>
        </w:rPr>
        <w:t>风险或</w:t>
      </w:r>
      <w:r>
        <w:rPr>
          <w:rFonts w:hint="eastAsia" w:ascii="仿宋_GB2312" w:hAnsi="仿宋_GB2312" w:eastAsia="仿宋_GB2312" w:cs="仿宋_GB2312"/>
          <w:sz w:val="32"/>
          <w:szCs w:val="32"/>
          <w:highlight w:val="none"/>
        </w:rPr>
        <w:t>情形；</w:t>
      </w:r>
      <w:r>
        <w:rPr>
          <w:rFonts w:hint="eastAsia" w:ascii="仿宋_GB2312" w:hAnsi="仿宋_GB2312" w:eastAsia="仿宋_GB2312" w:cs="仿宋_GB2312"/>
          <w:color w:val="FF0000"/>
          <w:sz w:val="32"/>
          <w:szCs w:val="32"/>
          <w:highlight w:val="none"/>
        </w:rPr>
        <w:t xml:space="preserve">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项下的</w:t>
      </w:r>
      <w:r>
        <w:rPr>
          <w:rFonts w:hint="eastAsia" w:ascii="仿宋_GB2312" w:hAnsi="仿宋_GB2312" w:eastAsia="仿宋_GB2312" w:cs="仿宋_GB2312"/>
          <w:sz w:val="32"/>
          <w:szCs w:val="32"/>
          <w:highlight w:val="none"/>
        </w:rPr>
        <w:t>担保协议本身因违反法律规定而</w:t>
      </w:r>
      <w:r>
        <w:rPr>
          <w:rFonts w:hint="eastAsia" w:ascii="仿宋_GB2312" w:hAnsi="仿宋_GB2312" w:eastAsia="仿宋_GB2312" w:cs="仿宋_GB2312"/>
          <w:sz w:val="32"/>
          <w:szCs w:val="32"/>
          <w:highlight w:val="none"/>
          <w:lang w:eastAsia="zh-CN"/>
        </w:rPr>
        <w:t>被认定为</w:t>
      </w:r>
      <w:r>
        <w:rPr>
          <w:rFonts w:hint="eastAsia" w:ascii="仿宋_GB2312" w:hAnsi="仿宋_GB2312" w:eastAsia="仿宋_GB2312" w:cs="仿宋_GB2312"/>
          <w:sz w:val="32"/>
          <w:szCs w:val="32"/>
          <w:highlight w:val="none"/>
        </w:rPr>
        <w:t>无效或被撤销，担保人</w:t>
      </w:r>
      <w:r>
        <w:rPr>
          <w:rFonts w:hint="eastAsia" w:ascii="仿宋_GB2312" w:hAnsi="仿宋_GB2312" w:eastAsia="仿宋_GB2312" w:cs="仿宋_GB2312"/>
          <w:sz w:val="32"/>
          <w:szCs w:val="32"/>
          <w:highlight w:val="none"/>
          <w:lang w:eastAsia="zh-CN"/>
        </w:rPr>
        <w:t>对此</w:t>
      </w:r>
      <w:r>
        <w:rPr>
          <w:rFonts w:hint="eastAsia" w:ascii="仿宋_GB2312" w:hAnsi="仿宋_GB2312" w:eastAsia="仿宋_GB2312" w:cs="仿宋_GB2312"/>
          <w:sz w:val="32"/>
          <w:szCs w:val="32"/>
          <w:highlight w:val="none"/>
        </w:rPr>
        <w:t>没有过错或仅承担一部分过错责任；</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项下的</w:t>
      </w:r>
      <w:r>
        <w:rPr>
          <w:rFonts w:hint="eastAsia" w:ascii="仿宋_GB2312" w:hAnsi="仿宋_GB2312" w:eastAsia="仿宋_GB2312" w:cs="仿宋_GB2312"/>
          <w:sz w:val="32"/>
          <w:szCs w:val="32"/>
          <w:highlight w:val="none"/>
        </w:rPr>
        <w:t>保证</w:t>
      </w:r>
      <w:r>
        <w:rPr>
          <w:rFonts w:hint="eastAsia" w:ascii="仿宋_GB2312" w:hAnsi="仿宋_GB2312" w:eastAsia="仿宋_GB2312" w:cs="仿宋_GB2312"/>
          <w:sz w:val="32"/>
          <w:szCs w:val="32"/>
          <w:highlight w:val="none"/>
          <w:lang w:eastAsia="zh-CN"/>
        </w:rPr>
        <w:t>责任存在因未在</w:t>
      </w:r>
      <w:r>
        <w:rPr>
          <w:rFonts w:hint="eastAsia" w:ascii="仿宋_GB2312" w:hAnsi="仿宋_GB2312" w:eastAsia="仿宋_GB2312" w:cs="仿宋_GB2312"/>
          <w:sz w:val="32"/>
          <w:szCs w:val="32"/>
          <w:highlight w:val="none"/>
        </w:rPr>
        <w:t>保证协议约定或法律规定的保证期间内向保证人主张权利，而造成保证人不再承担保证责任或免责</w:t>
      </w:r>
      <w:r>
        <w:rPr>
          <w:rFonts w:hint="eastAsia" w:ascii="仿宋_GB2312" w:hAnsi="仿宋_GB2312" w:eastAsia="仿宋_GB2312" w:cs="仿宋_GB2312"/>
          <w:sz w:val="32"/>
          <w:szCs w:val="32"/>
          <w:highlight w:val="none"/>
          <w:lang w:eastAsia="zh-CN"/>
        </w:rPr>
        <w:t>的风险或情形</w:t>
      </w:r>
      <w:r>
        <w:rPr>
          <w:rFonts w:hint="eastAsia" w:ascii="仿宋_GB2312" w:hAnsi="仿宋_GB2312" w:eastAsia="仿宋_GB2312" w:cs="仿宋_GB2312"/>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原债权</w:t>
      </w:r>
      <w:r>
        <w:rPr>
          <w:rFonts w:hint="eastAsia" w:ascii="仿宋_GB2312" w:hAnsi="仿宋_GB2312" w:eastAsia="仿宋_GB2312" w:cs="仿宋_GB2312"/>
          <w:sz w:val="32"/>
          <w:szCs w:val="32"/>
          <w:highlight w:val="none"/>
        </w:rPr>
        <w:t>银行所列债务人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与实际不符，应以法院</w:t>
      </w:r>
      <w:r>
        <w:rPr>
          <w:rFonts w:hint="eastAsia" w:ascii="仿宋_GB2312" w:hAnsi="仿宋_GB2312" w:eastAsia="仿宋_GB2312" w:cs="仿宋_GB2312"/>
          <w:sz w:val="32"/>
          <w:szCs w:val="32"/>
          <w:highlight w:val="none"/>
          <w:lang w:eastAsia="zh-CN"/>
        </w:rPr>
        <w:t>或仲裁机构</w:t>
      </w:r>
      <w:r>
        <w:rPr>
          <w:rFonts w:hint="eastAsia" w:ascii="仿宋_GB2312" w:hAnsi="仿宋_GB2312" w:eastAsia="仿宋_GB2312" w:cs="仿宋_GB2312"/>
          <w:sz w:val="32"/>
          <w:szCs w:val="32"/>
          <w:highlight w:val="none"/>
        </w:rPr>
        <w:t>确认的债务人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为准；</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资产的担保物权因担保物灭失而消灭；</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资产的抵</w:t>
      </w:r>
      <w:r>
        <w:rPr>
          <w:rFonts w:hint="eastAsia" w:ascii="仿宋_GB2312" w:hAnsi="仿宋_GB2312" w:eastAsia="仿宋_GB2312" w:cs="仿宋_GB2312"/>
          <w:sz w:val="32"/>
          <w:szCs w:val="32"/>
          <w:highlight w:val="none"/>
          <w:lang w:val="en-US" w:eastAsia="zh-CN"/>
        </w:rPr>
        <w:t>/质</w:t>
      </w:r>
      <w:r>
        <w:rPr>
          <w:rFonts w:hint="eastAsia" w:ascii="仿宋_GB2312" w:hAnsi="仿宋_GB2312" w:eastAsia="仿宋_GB2312" w:cs="仿宋_GB2312"/>
          <w:sz w:val="32"/>
          <w:szCs w:val="32"/>
          <w:highlight w:val="none"/>
        </w:rPr>
        <w:t>押物实际不存在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抵押物重复抵押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w:t>
      </w:r>
      <w:r>
        <w:rPr>
          <w:rFonts w:hint="eastAsia" w:ascii="仿宋_GB2312" w:hAnsi="仿宋_GB2312" w:eastAsia="仿宋_GB2312" w:cs="仿宋_GB2312"/>
          <w:sz w:val="32"/>
          <w:szCs w:val="32"/>
          <w:highlight w:val="none"/>
          <w:lang w:val="en-US" w:eastAsia="zh-CN"/>
        </w:rPr>
        <w:t>/质</w:t>
      </w:r>
      <w:r>
        <w:rPr>
          <w:rFonts w:hint="eastAsia" w:ascii="仿宋_GB2312" w:hAnsi="仿宋_GB2312" w:eastAsia="仿宋_GB2312" w:cs="仿宋_GB2312"/>
          <w:sz w:val="32"/>
          <w:szCs w:val="32"/>
          <w:highlight w:val="none"/>
        </w:rPr>
        <w:t>押协议实际未生效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抵押担</w:t>
      </w:r>
      <w:r>
        <w:rPr>
          <w:rFonts w:hint="eastAsia" w:ascii="仿宋_GB2312" w:hAnsi="仿宋_GB2312" w:eastAsia="仿宋_GB2312" w:cs="仿宋_GB2312"/>
          <w:color w:val="auto"/>
          <w:sz w:val="32"/>
          <w:szCs w:val="32"/>
          <w:highlight w:val="none"/>
        </w:rPr>
        <w:t>保应办理抵押登记而未办理；或因动产抵押协议未办理登记而抵押物已为第三人善意取得；或动产抵押物质量下降、丢失、乃至无法使用</w:t>
      </w:r>
      <w:r>
        <w:rPr>
          <w:rFonts w:hint="eastAsia" w:ascii="仿宋_GB2312" w:hAnsi="仿宋_GB2312" w:eastAsia="仿宋_GB2312" w:cs="仿宋_GB2312"/>
          <w:color w:val="auto"/>
          <w:sz w:val="32"/>
          <w:szCs w:val="32"/>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w:t>
      </w:r>
      <w:r>
        <w:rPr>
          <w:rFonts w:hint="eastAsia" w:ascii="仿宋_GB2312" w:hAnsi="仿宋_GB2312" w:eastAsia="仿宋_GB2312" w:cs="仿宋_GB2312"/>
          <w:color w:val="auto"/>
          <w:sz w:val="32"/>
          <w:szCs w:val="32"/>
          <w:highlight w:val="none"/>
          <w:lang w:eastAsia="zh-CN"/>
        </w:rPr>
        <w:t>债权</w:t>
      </w:r>
      <w:r>
        <w:rPr>
          <w:rFonts w:hint="eastAsia" w:ascii="仿宋_GB2312" w:hAnsi="仿宋_GB2312" w:eastAsia="仿宋_GB2312" w:cs="仿宋_GB2312"/>
          <w:color w:val="auto"/>
          <w:sz w:val="32"/>
          <w:szCs w:val="32"/>
          <w:highlight w:val="none"/>
        </w:rPr>
        <w:t>及其附属的最高额抵押，可能</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因最高额抵押的决算期未届满</w:t>
      </w:r>
      <w:r>
        <w:rPr>
          <w:rFonts w:hint="eastAsia" w:ascii="仿宋_GB2312" w:hAnsi="仿宋_GB2312" w:eastAsia="仿宋_GB2312" w:cs="仿宋_GB2312"/>
          <w:color w:val="auto"/>
          <w:sz w:val="32"/>
          <w:szCs w:val="32"/>
          <w:highlight w:val="none"/>
          <w:lang w:eastAsia="zh-CN"/>
        </w:rPr>
        <w:t>即被</w:t>
      </w:r>
      <w:r>
        <w:rPr>
          <w:rFonts w:hint="eastAsia" w:ascii="仿宋_GB2312" w:hAnsi="仿宋_GB2312" w:eastAsia="仿宋_GB2312" w:cs="仿宋_GB2312"/>
          <w:color w:val="auto"/>
          <w:sz w:val="32"/>
          <w:szCs w:val="32"/>
          <w:highlight w:val="none"/>
        </w:rPr>
        <w:t>一次或数次转让</w:t>
      </w:r>
      <w:r>
        <w:rPr>
          <w:rFonts w:hint="eastAsia" w:ascii="仿宋_GB2312" w:hAnsi="仿宋_GB2312" w:eastAsia="仿宋_GB2312" w:cs="仿宋_GB2312"/>
          <w:color w:val="auto"/>
          <w:sz w:val="32"/>
          <w:szCs w:val="32"/>
          <w:highlight w:val="none"/>
          <w:lang w:eastAsia="zh-CN"/>
        </w:rPr>
        <w:t>而导致</w:t>
      </w:r>
      <w:r>
        <w:rPr>
          <w:rFonts w:hint="eastAsia" w:ascii="仿宋_GB2312" w:hAnsi="仿宋_GB2312" w:eastAsia="仿宋_GB2312" w:cs="仿宋_GB2312"/>
          <w:color w:val="auto"/>
          <w:sz w:val="32"/>
          <w:szCs w:val="32"/>
          <w:highlight w:val="none"/>
        </w:rPr>
        <w:t>抵押权甚至主债权落空；</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（8）部分</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资产可能已被全部或部分减免、被抵销、被清偿；</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资产可能存在因超过法定</w:t>
      </w:r>
      <w:r>
        <w:rPr>
          <w:rFonts w:hint="eastAsia" w:ascii="仿宋_GB2312" w:hAnsi="仿宋_GB2312" w:eastAsia="仿宋_GB2312" w:cs="仿宋_GB2312"/>
          <w:color w:val="auto"/>
          <w:sz w:val="32"/>
          <w:szCs w:val="32"/>
          <w:highlight w:val="none"/>
          <w:lang w:eastAsia="zh-CN"/>
        </w:rPr>
        <w:t>起诉期限、</w:t>
      </w:r>
      <w:r>
        <w:rPr>
          <w:rFonts w:hint="eastAsia" w:ascii="仿宋_GB2312" w:hAnsi="仿宋_GB2312" w:eastAsia="仿宋_GB2312" w:cs="仿宋_GB2312"/>
          <w:color w:val="auto"/>
          <w:sz w:val="32"/>
          <w:szCs w:val="32"/>
          <w:highlight w:val="none"/>
        </w:rPr>
        <w:t>上诉期限、申请执行期限</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而无法获得法律保护；</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（10）全部或部分</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lang w:val="en-US" w:eastAsia="zh-CN"/>
        </w:rPr>
        <w:t>资产</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经法院或仲裁机构裁判未获得其支持而败诉或部分败诉、</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裁定终结执行等诉讼风险；</w:t>
      </w:r>
      <w:r>
        <w:rPr>
          <w:rFonts w:hint="eastAsia" w:ascii="仿宋_GB2312" w:hAnsi="仿宋_GB2312" w:eastAsia="仿宋_GB2312" w:cs="仿宋_GB2312"/>
          <w:color w:val="auto"/>
          <w:sz w:val="32"/>
          <w:szCs w:val="32"/>
          <w:highlight w:val="none"/>
          <w:lang w:val="en-US" w:eastAsia="zh-CN"/>
        </w:rPr>
        <w:t>受让后</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lang w:val="en-US" w:eastAsia="zh-CN"/>
        </w:rPr>
        <w:t>资产</w:t>
      </w:r>
      <w:r>
        <w:rPr>
          <w:rFonts w:hint="eastAsia" w:ascii="仿宋_GB2312" w:hAnsi="仿宋_GB2312" w:eastAsia="仿宋_GB2312" w:cs="仿宋_GB2312"/>
          <w:color w:val="auto"/>
          <w:sz w:val="32"/>
          <w:szCs w:val="32"/>
          <w:highlight w:val="none"/>
        </w:rPr>
        <w:t>中的利息、罚息</w:t>
      </w:r>
      <w:r>
        <w:rPr>
          <w:rFonts w:hint="eastAsia" w:ascii="仿宋_GB2312" w:hAnsi="仿宋_GB2312" w:eastAsia="仿宋_GB2312" w:cs="仿宋_GB2312"/>
          <w:color w:val="auto"/>
          <w:sz w:val="32"/>
          <w:szCs w:val="32"/>
          <w:highlight w:val="none"/>
          <w:lang w:eastAsia="zh-CN"/>
        </w:rPr>
        <w:t>、违约金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诉求经法院或仲裁机构裁判未获得其支持而败诉或部分败诉、法院已裁定终结执行等诉讼风险；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lang w:eastAsia="zh-CN"/>
        </w:rPr>
        <w:t>原债权银行收取的</w:t>
      </w:r>
      <w:r>
        <w:rPr>
          <w:rFonts w:hint="eastAsia" w:ascii="仿宋_GB2312" w:eastAsia="仿宋_GB2312" w:cs="Times New Roman"/>
          <w:color w:val="auto"/>
          <w:sz w:val="32"/>
          <w:szCs w:val="32"/>
          <w:highlight w:val="none"/>
          <w:u w:val="none"/>
          <w:lang w:val="en-US" w:eastAsia="zh-CN"/>
        </w:rPr>
        <w:t>服务费、咨询费、顾问费、管理费等相关费用存在不被法院支持且无法另行追索的风险；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已经进入诉讼程序的</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资产，可能存在由于未能在法律规定的期限内申请继续</w:t>
      </w:r>
      <w:r>
        <w:rPr>
          <w:rFonts w:hint="eastAsia" w:ascii="仿宋_GB2312" w:hAnsi="仿宋_GB2312" w:eastAsia="仿宋_GB2312" w:cs="仿宋_GB2312"/>
          <w:color w:val="auto"/>
          <w:sz w:val="32"/>
          <w:szCs w:val="32"/>
          <w:highlight w:val="none"/>
          <w:lang w:eastAsia="zh-CN"/>
        </w:rPr>
        <w:t>保全</w:t>
      </w:r>
      <w:r>
        <w:rPr>
          <w:rFonts w:hint="eastAsia" w:ascii="仿宋_GB2312" w:hAnsi="仿宋_GB2312" w:eastAsia="仿宋_GB2312" w:cs="仿宋_GB2312"/>
          <w:color w:val="auto"/>
          <w:sz w:val="32"/>
          <w:szCs w:val="32"/>
          <w:highlight w:val="none"/>
        </w:rPr>
        <w:t>而导致对</w:t>
      </w:r>
      <w:r>
        <w:rPr>
          <w:rFonts w:hint="eastAsia" w:ascii="仿宋_GB2312" w:hAnsi="仿宋_GB2312" w:eastAsia="仿宋_GB2312" w:cs="仿宋_GB2312"/>
          <w:color w:val="auto"/>
          <w:sz w:val="32"/>
          <w:szCs w:val="32"/>
          <w:highlight w:val="none"/>
          <w:lang w:eastAsia="zh-CN"/>
        </w:rPr>
        <w:t>保全</w:t>
      </w:r>
      <w:r>
        <w:rPr>
          <w:rFonts w:hint="eastAsia" w:ascii="仿宋_GB2312" w:hAnsi="仿宋_GB2312" w:eastAsia="仿宋_GB2312" w:cs="仿宋_GB2312"/>
          <w:color w:val="auto"/>
          <w:sz w:val="32"/>
          <w:szCs w:val="32"/>
          <w:highlight w:val="none"/>
        </w:rPr>
        <w:t>资产失去控制</w:t>
      </w:r>
      <w:r>
        <w:rPr>
          <w:rFonts w:hint="eastAsia" w:ascii="仿宋_GB2312" w:hAnsi="仿宋_GB2312" w:eastAsia="仿宋_GB2312" w:cs="仿宋_GB2312"/>
          <w:color w:val="auto"/>
          <w:sz w:val="32"/>
          <w:szCs w:val="32"/>
          <w:highlight w:val="none"/>
          <w:lang w:val="en-US" w:eastAsia="zh-CN"/>
        </w:rPr>
        <w:t>或处置权</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）标的</w:t>
      </w:r>
      <w:r>
        <w:rPr>
          <w:rFonts w:hint="eastAsia" w:ascii="仿宋_GB2312" w:hAnsi="仿宋_GB2312" w:eastAsia="仿宋_GB2312" w:cs="仿宋_GB2312"/>
          <w:color w:val="auto"/>
          <w:sz w:val="32"/>
          <w:szCs w:val="32"/>
          <w:highlight w:val="none"/>
          <w:lang w:eastAsia="zh-CN"/>
        </w:rPr>
        <w:t>资产</w:t>
      </w:r>
      <w:r>
        <w:rPr>
          <w:rFonts w:hint="eastAsia" w:ascii="仿宋_GB2312" w:hAnsi="仿宋_GB2312" w:eastAsia="仿宋_GB2312" w:cs="仿宋_GB2312"/>
          <w:color w:val="auto"/>
          <w:sz w:val="32"/>
          <w:szCs w:val="32"/>
          <w:highlight w:val="none"/>
        </w:rPr>
        <w:t>在基准日后仍会发生变化；</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）主从债权证明文件仅</w:t>
      </w:r>
      <w:r>
        <w:rPr>
          <w:rFonts w:hint="eastAsia" w:ascii="仿宋_GB2312" w:hAnsi="仿宋_GB2312" w:eastAsia="仿宋_GB2312" w:cs="仿宋_GB2312"/>
          <w:color w:val="auto"/>
          <w:sz w:val="32"/>
          <w:szCs w:val="32"/>
          <w:highlight w:val="none"/>
          <w:lang w:eastAsia="zh-CN"/>
        </w:rPr>
        <w:t>存</w:t>
      </w:r>
      <w:r>
        <w:rPr>
          <w:rFonts w:hint="eastAsia" w:ascii="仿宋_GB2312" w:hAnsi="仿宋_GB2312" w:eastAsia="仿宋_GB2312" w:cs="仿宋_GB2312"/>
          <w:color w:val="auto"/>
          <w:sz w:val="32"/>
          <w:szCs w:val="32"/>
          <w:highlight w:val="none"/>
        </w:rPr>
        <w:t>复印件，或者主从债权证明文件存在缺失、不完整</w:t>
      </w:r>
      <w:r>
        <w:rPr>
          <w:rFonts w:hint="eastAsia" w:ascii="仿宋_GB2312" w:hAnsi="仿宋_GB2312" w:eastAsia="仿宋_GB2312" w:cs="仿宋_GB2312"/>
          <w:color w:val="auto"/>
          <w:sz w:val="32"/>
          <w:szCs w:val="32"/>
          <w:highlight w:val="none"/>
          <w:lang w:eastAsia="zh-CN"/>
        </w:rPr>
        <w:t>、不清晰</w:t>
      </w:r>
      <w:r>
        <w:rPr>
          <w:rFonts w:hint="eastAsia" w:ascii="仿宋_GB2312" w:hAnsi="仿宋_GB2312" w:eastAsia="仿宋_GB2312" w:cs="仿宋_GB2312"/>
          <w:color w:val="auto"/>
          <w:sz w:val="32"/>
          <w:szCs w:val="32"/>
          <w:highlight w:val="none"/>
        </w:rPr>
        <w:t>或内容冲突等情形；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资产抵押物可能存在</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长期租赁</w:t>
      </w:r>
      <w:r>
        <w:rPr>
          <w:rFonts w:hint="eastAsia" w:ascii="仿宋_GB2312" w:hAnsi="仿宋_GB2312" w:eastAsia="仿宋_GB2312" w:cs="仿宋_GB2312"/>
          <w:color w:val="auto"/>
          <w:sz w:val="32"/>
          <w:szCs w:val="32"/>
          <w:highlight w:val="none"/>
          <w:lang w:eastAsia="zh-CN"/>
        </w:rPr>
        <w:t>、借用</w:t>
      </w:r>
      <w:r>
        <w:rPr>
          <w:rFonts w:hint="eastAsia" w:ascii="仿宋_GB2312" w:hAnsi="仿宋_GB2312" w:eastAsia="仿宋_GB2312" w:cs="仿宋_GB2312"/>
          <w:color w:val="auto"/>
          <w:sz w:val="32"/>
          <w:szCs w:val="32"/>
          <w:highlight w:val="none"/>
        </w:rPr>
        <w:t>或者被他人长期占用</w:t>
      </w:r>
      <w:r>
        <w:rPr>
          <w:rFonts w:hint="eastAsia" w:ascii="仿宋_GB2312" w:hAnsi="仿宋_GB2312" w:eastAsia="仿宋_GB2312" w:cs="仿宋_GB2312"/>
          <w:color w:val="auto"/>
          <w:sz w:val="32"/>
          <w:szCs w:val="32"/>
          <w:highlight w:val="none"/>
          <w:lang w:eastAsia="zh-CN"/>
        </w:rPr>
        <w:t>、无法正常使用等情形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资产抵押物为房屋的，该抵押房屋所坐落的土地</w:t>
      </w:r>
      <w:r>
        <w:rPr>
          <w:rFonts w:hint="eastAsia" w:ascii="仿宋_GB2312" w:hAnsi="仿宋_GB2312" w:eastAsia="仿宋_GB2312" w:cs="仿宋_GB2312"/>
          <w:color w:val="auto"/>
          <w:sz w:val="32"/>
          <w:szCs w:val="32"/>
          <w:highlight w:val="none"/>
          <w:lang w:eastAsia="zh-CN"/>
        </w:rPr>
        <w:t>可能</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auto"/>
          <w:sz w:val="32"/>
          <w:szCs w:val="32"/>
          <w:highlight w:val="none"/>
        </w:rPr>
        <w:t>租赁</w:t>
      </w:r>
      <w:r>
        <w:rPr>
          <w:rFonts w:hint="eastAsia" w:ascii="仿宋_GB2312" w:hAnsi="仿宋_GB2312" w:eastAsia="仿宋_GB2312" w:cs="仿宋_GB2312"/>
          <w:color w:val="auto"/>
          <w:sz w:val="32"/>
          <w:szCs w:val="32"/>
          <w:highlight w:val="none"/>
          <w:lang w:eastAsia="zh-CN"/>
        </w:rPr>
        <w:t>、划拨、出让等方式</w:t>
      </w:r>
      <w:r>
        <w:rPr>
          <w:rFonts w:hint="eastAsia" w:ascii="仿宋_GB2312" w:hAnsi="仿宋_GB2312" w:eastAsia="仿宋_GB2312" w:cs="仿宋_GB2312"/>
          <w:color w:val="auto"/>
          <w:sz w:val="32"/>
          <w:szCs w:val="32"/>
          <w:highlight w:val="none"/>
        </w:rPr>
        <w:t>取得</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欠缴土地租赁费</w:t>
      </w:r>
      <w:r>
        <w:rPr>
          <w:rFonts w:hint="eastAsia" w:ascii="仿宋_GB2312" w:hAnsi="仿宋_GB2312" w:eastAsia="仿宋_GB2312" w:cs="仿宋_GB2312"/>
          <w:color w:val="auto"/>
          <w:sz w:val="32"/>
          <w:szCs w:val="32"/>
          <w:highlight w:val="none"/>
          <w:lang w:eastAsia="zh-CN"/>
        </w:rPr>
        <w:t>、土地出让金、</w:t>
      </w:r>
      <w:r>
        <w:rPr>
          <w:rFonts w:hint="eastAsia" w:ascii="仿宋_GB2312" w:hAnsi="仿宋_GB2312" w:eastAsia="仿宋_GB2312" w:cs="仿宋_GB2312"/>
          <w:color w:val="auto"/>
          <w:sz w:val="32"/>
          <w:szCs w:val="32"/>
          <w:highlight w:val="none"/>
          <w:lang w:val="en-US" w:eastAsia="zh-CN"/>
        </w:rPr>
        <w:t>税费等</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质押物</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存在</w:t>
      </w:r>
      <w:r>
        <w:rPr>
          <w:rFonts w:hint="eastAsia" w:ascii="仿宋_GB2312" w:hAnsi="仿宋_GB2312" w:eastAsia="仿宋_GB2312" w:cs="仿宋_GB2312"/>
          <w:color w:val="auto"/>
          <w:sz w:val="32"/>
          <w:szCs w:val="32"/>
          <w:highlight w:val="none"/>
          <w:lang w:eastAsia="zh-CN"/>
        </w:rPr>
        <w:t>因</w:t>
      </w:r>
      <w:r>
        <w:rPr>
          <w:rFonts w:hint="eastAsia" w:ascii="仿宋_GB2312" w:hAnsi="仿宋_GB2312" w:eastAsia="仿宋_GB2312" w:cs="仿宋_GB2312"/>
          <w:color w:val="auto"/>
          <w:sz w:val="32"/>
          <w:szCs w:val="32"/>
          <w:highlight w:val="none"/>
        </w:rPr>
        <w:t>物理界限不确定而导致纠纷发生</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可能</w:t>
      </w:r>
      <w:r>
        <w:rPr>
          <w:rFonts w:hint="eastAsia" w:ascii="仿宋_GB2312" w:hAnsi="仿宋_GB2312" w:eastAsia="仿宋_GB2312" w:cs="仿宋_GB2312"/>
          <w:color w:val="auto"/>
          <w:sz w:val="32"/>
          <w:szCs w:val="32"/>
          <w:highlight w:val="none"/>
          <w:lang w:eastAsia="zh-CN"/>
        </w:rPr>
        <w:t>性</w:t>
      </w:r>
      <w:r>
        <w:rPr>
          <w:rFonts w:hint="eastAsia" w:ascii="仿宋_GB2312" w:hAnsi="仿宋_GB2312" w:eastAsia="仿宋_GB2312" w:cs="仿宋_GB2312"/>
          <w:color w:val="auto"/>
          <w:sz w:val="32"/>
          <w:szCs w:val="32"/>
          <w:highlight w:val="none"/>
        </w:rPr>
        <w:t>，且可能存在欠缴监管费、场地租赁费、修缮费等情</w:t>
      </w:r>
      <w:r>
        <w:rPr>
          <w:rFonts w:hint="eastAsia" w:ascii="仿宋_GB2312" w:hAnsi="仿宋_GB2312" w:eastAsia="仿宋_GB2312" w:cs="仿宋_GB2312"/>
          <w:color w:val="auto"/>
          <w:sz w:val="32"/>
          <w:szCs w:val="32"/>
          <w:highlight w:val="none"/>
          <w:lang w:eastAsia="zh-CN"/>
        </w:rPr>
        <w:t>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质押物可能存在现场无人看管、数量无法确定</w:t>
      </w:r>
      <w:r>
        <w:rPr>
          <w:rFonts w:hint="eastAsia" w:ascii="仿宋_GB2312" w:hAnsi="仿宋_GB2312" w:eastAsia="仿宋_GB2312" w:cs="仿宋_GB2312"/>
          <w:color w:val="auto"/>
          <w:sz w:val="32"/>
          <w:szCs w:val="32"/>
          <w:highlight w:val="none"/>
          <w:lang w:eastAsia="zh-CN"/>
        </w:rPr>
        <w:t>、被强制清理等导致其价值贬损或权利瑕疵的情形；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）质押物为应收账款的，应收账款可能存在虚假、无经济实质</w:t>
      </w:r>
      <w:r>
        <w:rPr>
          <w:rFonts w:hint="eastAsia" w:ascii="仿宋_GB2312" w:hAnsi="仿宋_GB2312" w:eastAsia="仿宋_GB2312" w:cs="仿宋_GB2312"/>
          <w:color w:val="auto"/>
          <w:sz w:val="32"/>
          <w:szCs w:val="32"/>
          <w:highlight w:val="none"/>
          <w:lang w:eastAsia="zh-CN"/>
        </w:rPr>
        <w:t>、存在纠纷等情况</w:t>
      </w:r>
      <w:r>
        <w:rPr>
          <w:rFonts w:hint="eastAsia" w:ascii="仿宋_GB2312" w:hAnsi="仿宋_GB2312" w:eastAsia="仿宋_GB2312" w:cs="仿宋_GB2312"/>
          <w:color w:val="auto"/>
          <w:sz w:val="32"/>
          <w:szCs w:val="32"/>
          <w:highlight w:val="none"/>
        </w:rPr>
        <w:t>，进而</w:t>
      </w:r>
      <w:r>
        <w:rPr>
          <w:rFonts w:hint="eastAsia" w:ascii="仿宋_GB2312" w:hAnsi="仿宋_GB2312" w:eastAsia="仿宋_GB2312" w:cs="仿宋_GB2312"/>
          <w:color w:val="auto"/>
          <w:sz w:val="32"/>
          <w:szCs w:val="32"/>
          <w:highlight w:val="none"/>
          <w:lang w:eastAsia="zh-CN"/>
        </w:rPr>
        <w:t>导致</w:t>
      </w:r>
      <w:r>
        <w:rPr>
          <w:rFonts w:hint="eastAsia" w:ascii="仿宋_GB2312" w:hAnsi="仿宋_GB2312" w:eastAsia="仿宋_GB2312" w:cs="仿宋_GB2312"/>
          <w:color w:val="auto"/>
          <w:sz w:val="32"/>
          <w:szCs w:val="32"/>
          <w:highlight w:val="none"/>
        </w:rPr>
        <w:t>无质押担保价值</w:t>
      </w:r>
      <w:r>
        <w:rPr>
          <w:rFonts w:hint="eastAsia" w:ascii="仿宋_GB2312" w:hAnsi="仿宋_GB2312" w:eastAsia="仿宋_GB2312" w:cs="仿宋_GB2312"/>
          <w:color w:val="auto"/>
          <w:sz w:val="32"/>
          <w:szCs w:val="32"/>
          <w:highlight w:val="none"/>
          <w:lang w:eastAsia="zh-CN"/>
        </w:rPr>
        <w:t>或担保无效等情形；或应收账款双方已清偿完毕。</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资产抵质押物可能存在</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其他法院</w:t>
      </w:r>
      <w:r>
        <w:rPr>
          <w:rFonts w:hint="eastAsia" w:ascii="仿宋_GB2312" w:hAnsi="仿宋_GB2312" w:eastAsia="仿宋_GB2312" w:cs="仿宋_GB2312"/>
          <w:color w:val="auto"/>
          <w:sz w:val="32"/>
          <w:szCs w:val="32"/>
          <w:highlight w:val="none"/>
          <w:lang w:eastAsia="zh-CN"/>
        </w:rPr>
        <w:t>采取保全措施或已被处置等情形；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已经进入诉讼程序的标的资产可能存在不能变更诉讼、仲裁或执行主体等情形；或存在标的资产转让后诉讼程序被驳回等情况；</w:t>
      </w:r>
    </w:p>
    <w:p>
      <w:pPr>
        <w:pStyle w:val="10"/>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（22）在标的资产的处置公示中，由于债权基准日的不同，可能导致在相应网站、报纸上表述的标的资产债权金额及相关信息不完全一致；</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标的债权案件查封资产为保证人松原宏宇公司持有的2宗国有建设用地使用权，使用权面积合计129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150㎡。该查封资产上存多轮查封，中信金资公司为首轮查封，存在经侦查封，可能涉嫌非法吸收公众存款罪；存在税务局轮候查封；</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）查封土地被松原宏宇公司开发的富江丽都项目一期占用，</w:t>
      </w:r>
      <w:r>
        <w:rPr>
          <w:rFonts w:hint="eastAsia" w:ascii="仿宋_GB2312" w:hAnsi="仿宋_GB2312" w:eastAsia="仿宋_GB2312" w:cs="仿宋_GB2312"/>
          <w:color w:val="auto"/>
          <w:sz w:val="32"/>
          <w:szCs w:val="32"/>
          <w:highlight w:val="none"/>
          <w:lang w:val="en-US" w:eastAsia="zh-CN"/>
        </w:rPr>
        <w:t>可供执行的查封土地面积存在不确定性，且存在客观执行障碍，</w:t>
      </w:r>
      <w:r>
        <w:rPr>
          <w:rFonts w:hint="eastAsia" w:ascii="仿宋_GB2312" w:hAnsi="仿宋_GB2312" w:eastAsia="仿宋_GB2312" w:cs="仿宋_GB2312"/>
          <w:color w:val="auto"/>
          <w:sz w:val="32"/>
          <w:szCs w:val="32"/>
          <w:highlight w:val="none"/>
          <w:lang w:eastAsia="zh-CN"/>
        </w:rPr>
        <w:t>具体占用面积需要以测绘结果为准；</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（25）标的债权抵押物存在</w:t>
      </w:r>
      <w:r>
        <w:rPr>
          <w:rFonts w:hint="eastAsia" w:ascii="仿宋_GB2312" w:hAnsi="仿宋_GB2312" w:eastAsia="仿宋_GB2312" w:cs="仿宋_GB2312"/>
          <w:color w:val="auto"/>
          <w:sz w:val="32"/>
          <w:szCs w:val="32"/>
          <w:highlight w:val="none"/>
          <w:lang w:eastAsia="zh-CN"/>
        </w:rPr>
        <w:t>私自出售、抵账及出租的情况且已部分入住情形、部分房屋建筑物已由当地政府交付回迁户占有使用；</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lang w:eastAsia="zh-CN"/>
        </w:rPr>
        <w:t>）查封土地范围内存在未拆迁建筑物，</w:t>
      </w:r>
      <w:r>
        <w:rPr>
          <w:rFonts w:hint="eastAsia" w:ascii="仿宋_GB2312" w:hAnsi="仿宋_GB2312" w:eastAsia="仿宋_GB2312" w:cs="仿宋_GB2312"/>
          <w:color w:val="auto"/>
          <w:sz w:val="32"/>
          <w:szCs w:val="32"/>
          <w:highlight w:val="none"/>
          <w:lang w:val="en-US" w:eastAsia="zh-CN"/>
        </w:rPr>
        <w:t>可能引发</w:t>
      </w:r>
      <w:r>
        <w:rPr>
          <w:rFonts w:hint="eastAsia" w:ascii="仿宋_GB2312" w:hAnsi="仿宋_GB2312" w:eastAsia="仿宋_GB2312" w:cs="仿宋_GB2312"/>
          <w:color w:val="auto"/>
          <w:sz w:val="32"/>
          <w:szCs w:val="32"/>
          <w:highlight w:val="none"/>
          <w:lang w:eastAsia="zh-CN"/>
        </w:rPr>
        <w:t>拆迁纠纷、执行及执行衍生案件等情况。</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（27）标的债权及其从权利的其他瑕疵或重大缺陷。</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中信金资公司</w:t>
      </w:r>
      <w:r>
        <w:rPr>
          <w:rFonts w:hint="eastAsia" w:ascii="仿宋_GB2312" w:hAnsi="仿宋_GB2312" w:eastAsia="仿宋_GB2312" w:cs="仿宋_GB2312"/>
          <w:color w:val="auto"/>
          <w:sz w:val="32"/>
          <w:szCs w:val="32"/>
          <w:highlight w:val="none"/>
        </w:rPr>
        <w:t>无法排除</w:t>
      </w:r>
      <w:r>
        <w:rPr>
          <w:rFonts w:hint="eastAsia" w:ascii="仿宋_GB2312" w:hAnsi="仿宋_GB2312" w:eastAsia="仿宋_GB2312" w:cs="仿宋_GB2312"/>
          <w:color w:val="auto"/>
          <w:sz w:val="32"/>
          <w:szCs w:val="32"/>
          <w:highlight w:val="none"/>
          <w:lang w:eastAsia="zh-CN"/>
        </w:rPr>
        <w:t>标的资产</w:t>
      </w:r>
      <w:r>
        <w:rPr>
          <w:rFonts w:hint="eastAsia" w:ascii="仿宋_GB2312" w:hAnsi="仿宋_GB2312" w:eastAsia="仿宋_GB2312" w:cs="仿宋_GB2312"/>
          <w:color w:val="auto"/>
          <w:sz w:val="32"/>
          <w:szCs w:val="32"/>
          <w:highlight w:val="none"/>
        </w:rPr>
        <w:t>存在以下瑕疵：</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color w:val="auto"/>
          <w:sz w:val="32"/>
          <w:szCs w:val="32"/>
          <w:highlight w:val="none"/>
          <w:lang w:eastAsia="zh-CN"/>
        </w:rPr>
        <w:t>中信金资公司</w:t>
      </w:r>
      <w:r>
        <w:rPr>
          <w:rFonts w:hint="eastAsia" w:ascii="仿宋_GB2312" w:hAnsi="仿宋_GB2312" w:eastAsia="仿宋_GB2312" w:cs="仿宋_GB2312"/>
          <w:color w:val="auto"/>
          <w:sz w:val="32"/>
          <w:szCs w:val="32"/>
          <w:highlight w:val="none"/>
        </w:rPr>
        <w:t>以外</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第三</w:t>
      </w:r>
      <w:r>
        <w:rPr>
          <w:rFonts w:hint="eastAsia" w:ascii="仿宋_GB2312" w:hAnsi="仿宋_GB2312" w:eastAsia="仿宋_GB2312" w:cs="仿宋_GB2312"/>
          <w:color w:val="auto"/>
          <w:sz w:val="32"/>
          <w:szCs w:val="32"/>
          <w:highlight w:val="none"/>
          <w:lang w:eastAsia="zh-CN"/>
        </w:rPr>
        <w:t>方</w:t>
      </w:r>
      <w:r>
        <w:rPr>
          <w:rFonts w:hint="eastAsia" w:ascii="仿宋_GB2312" w:hAnsi="仿宋_GB2312" w:eastAsia="仿宋_GB2312" w:cs="仿宋_GB2312"/>
          <w:color w:val="auto"/>
          <w:sz w:val="32"/>
          <w:szCs w:val="32"/>
          <w:highlight w:val="none"/>
        </w:rPr>
        <w:t>提供资料的</w:t>
      </w:r>
      <w:r>
        <w:rPr>
          <w:rFonts w:hint="eastAsia" w:ascii="仿宋_GB2312" w:hAnsi="仿宋_GB2312" w:eastAsia="仿宋_GB2312" w:cs="仿宋_GB2312"/>
          <w:color w:val="auto"/>
          <w:sz w:val="32"/>
          <w:szCs w:val="32"/>
          <w:highlight w:val="none"/>
          <w:lang w:eastAsia="zh-CN"/>
        </w:rPr>
        <w:t>全面、</w:t>
      </w:r>
      <w:r>
        <w:rPr>
          <w:rFonts w:hint="eastAsia" w:ascii="仿宋_GB2312" w:hAnsi="仿宋_GB2312" w:eastAsia="仿宋_GB2312" w:cs="仿宋_GB2312"/>
          <w:color w:val="auto"/>
          <w:sz w:val="32"/>
          <w:szCs w:val="32"/>
          <w:highlight w:val="none"/>
        </w:rPr>
        <w:t>真伪；</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（2）潜在的第三人对</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项下的动产或不动产</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提出优先权或其他主张；</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项下的不动产与相关资料或凭证</w:t>
      </w:r>
      <w:r>
        <w:rPr>
          <w:rFonts w:hint="eastAsia" w:ascii="仿宋_GB2312" w:hAnsi="仿宋_GB2312" w:eastAsia="仿宋_GB2312" w:cs="仿宋_GB2312"/>
          <w:sz w:val="32"/>
          <w:szCs w:val="32"/>
          <w:highlight w:val="none"/>
          <w:lang w:eastAsia="zh-CN"/>
        </w:rPr>
        <w:t>上的登记信息存在</w:t>
      </w:r>
      <w:r>
        <w:rPr>
          <w:rFonts w:hint="eastAsia" w:ascii="仿宋_GB2312" w:hAnsi="仿宋_GB2312" w:eastAsia="仿宋_GB2312" w:cs="仿宋_GB2312"/>
          <w:sz w:val="32"/>
          <w:szCs w:val="32"/>
          <w:highlight w:val="none"/>
        </w:rPr>
        <w:t>差异；</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项下的不动产因</w:t>
      </w:r>
      <w:r>
        <w:rPr>
          <w:rFonts w:hint="eastAsia" w:ascii="仿宋_GB2312" w:hAnsi="仿宋_GB2312" w:eastAsia="仿宋_GB2312" w:cs="仿宋_GB2312"/>
          <w:sz w:val="32"/>
          <w:szCs w:val="32"/>
          <w:highlight w:val="none"/>
          <w:lang w:eastAsia="zh-CN"/>
        </w:rPr>
        <w:t>被租赁、借用或</w:t>
      </w:r>
      <w:r>
        <w:rPr>
          <w:rFonts w:hint="eastAsia" w:ascii="仿宋_GB2312" w:hAnsi="仿宋_GB2312" w:eastAsia="仿宋_GB2312" w:cs="仿宋_GB2312"/>
          <w:sz w:val="32"/>
          <w:szCs w:val="32"/>
          <w:highlight w:val="none"/>
        </w:rPr>
        <w:t>占用等情形，可能影响买受人行使占有、使用、收益、处分</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权利</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对已经破产终结的债权无追索对象，执行终结的债权法院可能不再恢复执行等情况，</w:t>
      </w:r>
      <w:r>
        <w:rPr>
          <w:rFonts w:hint="eastAsia" w:ascii="仿宋_GB2312" w:hAnsi="仿宋_GB2312" w:eastAsia="仿宋_GB2312" w:cs="仿宋_GB2312"/>
          <w:sz w:val="32"/>
          <w:szCs w:val="32"/>
          <w:highlight w:val="none"/>
          <w:lang w:eastAsia="zh-CN"/>
        </w:rPr>
        <w:t>竞买</w:t>
      </w:r>
      <w:r>
        <w:rPr>
          <w:rFonts w:hint="eastAsia" w:ascii="仿宋_GB2312" w:hAnsi="仿宋_GB2312" w:eastAsia="仿宋_GB2312" w:cs="仿宋_GB2312"/>
          <w:sz w:val="32"/>
          <w:szCs w:val="32"/>
          <w:highlight w:val="none"/>
        </w:rPr>
        <w:t>人已充分知情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自愿购买</w:t>
      </w:r>
      <w:r>
        <w:rPr>
          <w:rFonts w:hint="eastAsia" w:ascii="仿宋_GB2312" w:hAnsi="仿宋_GB2312" w:eastAsia="仿宋_GB2312" w:cs="仿宋_GB2312"/>
          <w:sz w:val="32"/>
          <w:szCs w:val="32"/>
          <w:highlight w:val="none"/>
          <w:lang w:eastAsia="zh-CN"/>
        </w:rPr>
        <w:t>标的资产后不得向中信金资公司主张任何权利。</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竞买人资格及特别提示</w:t>
      </w:r>
    </w:p>
    <w:p>
      <w:pPr>
        <w:numPr>
          <w:ilvl w:val="0"/>
          <w:numId w:val="0"/>
        </w:num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按照国家相关规定：竞买人应当是具有完全民事行为能力、支付能力的自然人，合法成立且有支付能力的法人和其他组织。但下列人员不得购买或变相购买：国家公务员、金融监管机构工作人员、政法干警、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与参与不良债权转让的金融资产管理公司工作人员、企业债务人或者受托资产评估机构负责人等有直系亲属关系的；上述主体出资成立的法人机构或特殊目的实体；国家金融监督管理总局认定的其他不宜受让的主体；反恐、反洗钱黑名单人员；其他依据法律法规不得收购、受让转让标的的主体。因不符合条件参加竞买的，由竞买人自行承担相应的法律责任。</w:t>
      </w:r>
    </w:p>
    <w:p>
      <w:pPr>
        <w:numPr>
          <w:ilvl w:val="0"/>
          <w:numId w:val="0"/>
        </w:num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有意竞买者请持合法有效证件，于竞价开始前，提前办理竞买登记手续，并签订相关承诺书。因不符合条件参加竞买并成为买受人的，中信金融资产吉林分公司有权不签署债权转让相关协议，竞买人自行承担相应的法律责任，竞买人交纳的保证金归中信金融资产吉林分公司所有，中信金融资产吉林分公司有权另行处置标的债权。</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因不符合条件参加竞买的，中信金融资产吉林分公司可单方宣布该竞价无效，且竞买人自行承担相应的法律责任。</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本次公开处置的</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资产为金融不良资产，竞买人须在竞买前对</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及担保情况采取现场踏查、核实资料和实物现状等方式进行独立的调查和判断，</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详细了解标的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的各项情况，充分认识资产的瑕疵、风险和困难，</w:t>
      </w:r>
      <w:r>
        <w:rPr>
          <w:rFonts w:hint="eastAsia" w:ascii="仿宋_GB2312" w:hAnsi="仿宋_GB2312" w:eastAsia="仿宋_GB2312" w:cs="仿宋_GB2312"/>
          <w:sz w:val="32"/>
          <w:szCs w:val="32"/>
          <w:highlight w:val="none"/>
          <w:lang w:eastAsia="zh-CN"/>
        </w:rPr>
        <w:t>进而</w:t>
      </w:r>
      <w:r>
        <w:rPr>
          <w:rFonts w:hint="eastAsia" w:ascii="仿宋_GB2312" w:hAnsi="仿宋_GB2312" w:eastAsia="仿宋_GB2312" w:cs="仿宋_GB2312"/>
          <w:sz w:val="32"/>
          <w:szCs w:val="32"/>
          <w:highlight w:val="none"/>
        </w:rPr>
        <w:t>独立慎重做出竞买的决定，</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同意按照现状购买</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资产。竞买人开展的尽职调查</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工作并不依赖于</w:t>
      </w:r>
      <w:r>
        <w:rPr>
          <w:rFonts w:hint="eastAsia" w:ascii="仿宋_GB2312" w:hAnsi="仿宋_GB2312" w:eastAsia="仿宋_GB2312" w:cs="仿宋_GB2312"/>
          <w:sz w:val="32"/>
          <w:szCs w:val="32"/>
          <w:highlight w:val="none"/>
          <w:lang w:eastAsia="zh-CN"/>
        </w:rPr>
        <w:t>中信金资公司</w:t>
      </w:r>
      <w:r>
        <w:rPr>
          <w:rFonts w:hint="eastAsia" w:ascii="仿宋_GB2312" w:hAnsi="仿宋_GB2312" w:eastAsia="仿宋_GB2312" w:cs="仿宋_GB2312"/>
          <w:sz w:val="32"/>
          <w:szCs w:val="32"/>
          <w:highlight w:val="none"/>
        </w:rPr>
        <w:t>提供的任何与标的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有关的文件、资料、说明或协助。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竞买人已被告知并完全理解，</w:t>
      </w:r>
      <w:r>
        <w:rPr>
          <w:rFonts w:hint="eastAsia" w:ascii="仿宋_GB2312" w:hAnsi="仿宋_GB2312" w:eastAsia="仿宋_GB2312" w:cs="仿宋_GB2312"/>
          <w:sz w:val="32"/>
          <w:szCs w:val="32"/>
          <w:highlight w:val="none"/>
          <w:lang w:eastAsia="zh-CN"/>
        </w:rPr>
        <w:t>标的资产、标的</w:t>
      </w:r>
      <w:r>
        <w:rPr>
          <w:rFonts w:hint="eastAsia" w:ascii="仿宋_GB2312" w:hAnsi="仿宋_GB2312" w:eastAsia="仿宋_GB2312" w:cs="仿宋_GB2312"/>
          <w:sz w:val="32"/>
          <w:szCs w:val="32"/>
          <w:highlight w:val="none"/>
        </w:rPr>
        <w:t>资产权益及其从权利，可能存在着瑕疵或尚未发现的重大缺陷，</w:t>
      </w:r>
      <w:r>
        <w:rPr>
          <w:rFonts w:hint="eastAsia" w:ascii="仿宋_GB2312" w:hAnsi="仿宋_GB2312" w:eastAsia="仿宋_GB2312" w:cs="仿宋_GB2312"/>
          <w:sz w:val="32"/>
          <w:szCs w:val="32"/>
          <w:highlight w:val="none"/>
          <w:lang w:eastAsia="zh-CN"/>
        </w:rPr>
        <w:t>可能导致其</w:t>
      </w:r>
      <w:r>
        <w:rPr>
          <w:rFonts w:hint="eastAsia" w:ascii="仿宋_GB2312" w:hAnsi="仿宋_GB2312" w:eastAsia="仿宋_GB2312" w:cs="仿宋_GB2312"/>
          <w:sz w:val="32"/>
          <w:szCs w:val="32"/>
          <w:highlight w:val="none"/>
        </w:rPr>
        <w:t>预期利益无法最终实现。</w:t>
      </w:r>
      <w:r>
        <w:rPr>
          <w:rFonts w:hint="eastAsia" w:ascii="仿宋_GB2312" w:hAnsi="仿宋_GB2312" w:eastAsia="仿宋_GB2312" w:cs="仿宋_GB2312"/>
          <w:sz w:val="32"/>
          <w:szCs w:val="32"/>
          <w:highlight w:val="none"/>
          <w:lang w:eastAsia="zh-CN"/>
        </w:rPr>
        <w:t>竞买人</w:t>
      </w:r>
      <w:r>
        <w:rPr>
          <w:rFonts w:hint="eastAsia" w:ascii="仿宋_GB2312" w:hAnsi="仿宋_GB2312" w:eastAsia="仿宋_GB2312" w:cs="仿宋_GB2312"/>
          <w:sz w:val="32"/>
          <w:szCs w:val="32"/>
          <w:highlight w:val="none"/>
        </w:rPr>
        <w:t>承诺不因已存在的妨碍资产价值实现的事实或潜在风险而对受让该资产提出任何抗辩或主张权利。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凡竞买人参与竞买的，视为已充分了解已知风险并自愿承担未知风险。竞买人应在充分了解标的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的前提下自行决定是否购买，竞买人一旦竞得</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后，能否实现债权、如何实现债权并为此支付的相关费用，均由买受人自行承担，</w:t>
      </w:r>
      <w:r>
        <w:rPr>
          <w:rFonts w:hint="eastAsia" w:ascii="仿宋_GB2312" w:hAnsi="仿宋_GB2312" w:eastAsia="仿宋_GB2312" w:cs="仿宋_GB2312"/>
          <w:sz w:val="32"/>
          <w:szCs w:val="32"/>
          <w:highlight w:val="none"/>
          <w:lang w:eastAsia="zh-CN"/>
        </w:rPr>
        <w:t>中信金资公司</w:t>
      </w:r>
      <w:r>
        <w:rPr>
          <w:rFonts w:hint="eastAsia" w:ascii="仿宋_GB2312" w:hAnsi="仿宋_GB2312" w:eastAsia="仿宋_GB2312" w:cs="仿宋_GB2312"/>
          <w:sz w:val="32"/>
          <w:szCs w:val="32"/>
          <w:highlight w:val="none"/>
        </w:rPr>
        <w:t>不做任何承诺，不承担任何责任。</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竞买人受让</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资产后，任何情况下不得以任何理由向</w:t>
      </w:r>
      <w:r>
        <w:rPr>
          <w:rFonts w:hint="eastAsia" w:ascii="仿宋_GB2312" w:hAnsi="仿宋_GB2312" w:eastAsia="仿宋_GB2312" w:cs="仿宋_GB2312"/>
          <w:sz w:val="32"/>
          <w:szCs w:val="32"/>
          <w:highlight w:val="none"/>
          <w:lang w:eastAsia="zh-CN"/>
        </w:rPr>
        <w:t>中信金资公司</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val="en-US" w:eastAsia="zh-CN"/>
        </w:rPr>
        <w:t>中信金资公司总部及其他分支</w:t>
      </w:r>
      <w:r>
        <w:rPr>
          <w:rFonts w:hint="eastAsia" w:ascii="仿宋_GB2312" w:hAnsi="仿宋_GB2312" w:eastAsia="仿宋_GB2312" w:cs="仿宋_GB2312"/>
          <w:sz w:val="32"/>
          <w:szCs w:val="32"/>
          <w:highlight w:val="none"/>
        </w:rPr>
        <w:t>机构，下同）或</w:t>
      </w:r>
      <w:r>
        <w:rPr>
          <w:rFonts w:hint="eastAsia" w:ascii="仿宋_GB2312" w:hAnsi="仿宋_GB2312" w:eastAsia="仿宋_GB2312" w:cs="仿宋_GB2312"/>
          <w:sz w:val="32"/>
          <w:szCs w:val="32"/>
          <w:highlight w:val="none"/>
          <w:lang w:val="en-US" w:eastAsia="zh-CN"/>
        </w:rPr>
        <w:t>原债权</w:t>
      </w:r>
      <w:r>
        <w:rPr>
          <w:rFonts w:hint="eastAsia" w:ascii="仿宋_GB2312" w:hAnsi="仿宋_GB2312" w:eastAsia="仿宋_GB2312" w:cs="仿宋_GB2312"/>
          <w:sz w:val="32"/>
          <w:szCs w:val="32"/>
          <w:highlight w:val="none"/>
        </w:rPr>
        <w:t>银行及其分支机构追索或提起诉讼、资产退回、置换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赔偿等</w:t>
      </w:r>
      <w:r>
        <w:rPr>
          <w:rFonts w:hint="eastAsia" w:ascii="仿宋_GB2312" w:hAnsi="仿宋_GB2312" w:eastAsia="仿宋_GB2312" w:cs="仿宋_GB2312"/>
          <w:sz w:val="32"/>
          <w:szCs w:val="32"/>
          <w:highlight w:val="none"/>
          <w:lang w:eastAsia="zh-CN"/>
        </w:rPr>
        <w:t>任何</w:t>
      </w:r>
      <w:r>
        <w:rPr>
          <w:rFonts w:hint="eastAsia" w:ascii="仿宋_GB2312" w:hAnsi="仿宋_GB2312" w:eastAsia="仿宋_GB2312" w:cs="仿宋_GB2312"/>
          <w:sz w:val="32"/>
          <w:szCs w:val="32"/>
          <w:highlight w:val="none"/>
        </w:rPr>
        <w:t>权利主张要求</w:t>
      </w:r>
      <w:r>
        <w:rPr>
          <w:rFonts w:hint="eastAsia" w:ascii="仿宋_GB2312" w:hAnsi="仿宋_GB2312" w:eastAsia="仿宋_GB2312" w:cs="仿宋_GB2312"/>
          <w:sz w:val="32"/>
          <w:szCs w:val="32"/>
          <w:highlight w:val="none"/>
          <w:lang w:eastAsia="zh-CN"/>
        </w:rPr>
        <w:t>。如竞买人</w:t>
      </w:r>
      <w:r>
        <w:rPr>
          <w:rFonts w:hint="eastAsia" w:ascii="仿宋_GB2312" w:hAnsi="仿宋_GB2312" w:eastAsia="仿宋_GB2312" w:cs="仿宋_GB2312"/>
          <w:sz w:val="32"/>
          <w:szCs w:val="32"/>
          <w:highlight w:val="none"/>
        </w:rPr>
        <w:t>在将标的资产转让给第三人</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也应明确约定，</w:t>
      </w:r>
      <w:r>
        <w:rPr>
          <w:rFonts w:hint="eastAsia" w:ascii="仿宋_GB2312" w:hAnsi="仿宋_GB2312" w:eastAsia="仿宋_GB2312" w:cs="仿宋_GB2312"/>
          <w:sz w:val="32"/>
          <w:szCs w:val="32"/>
          <w:highlight w:val="none"/>
          <w:lang w:eastAsia="zh-CN"/>
        </w:rPr>
        <w:t>第三人</w:t>
      </w:r>
      <w:r>
        <w:rPr>
          <w:rFonts w:hint="eastAsia"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就该标的资产向</w:t>
      </w:r>
      <w:r>
        <w:rPr>
          <w:rFonts w:hint="eastAsia" w:ascii="仿宋_GB2312" w:hAnsi="仿宋_GB2312" w:eastAsia="仿宋_GB2312" w:cs="仿宋_GB2312"/>
          <w:sz w:val="32"/>
          <w:szCs w:val="32"/>
          <w:highlight w:val="none"/>
          <w:lang w:eastAsia="zh-CN"/>
        </w:rPr>
        <w:t>中信金资公司或原债权</w:t>
      </w:r>
      <w:r>
        <w:rPr>
          <w:rFonts w:hint="eastAsia" w:ascii="仿宋_GB2312" w:hAnsi="仿宋_GB2312" w:eastAsia="仿宋_GB2312" w:cs="仿宋_GB2312"/>
          <w:sz w:val="32"/>
          <w:szCs w:val="32"/>
          <w:highlight w:val="none"/>
        </w:rPr>
        <w:t xml:space="preserve">银行及其分支机构主张任何权利。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7.由于部分债务人、担保人的地址不详或已变更，可能存在无法送达的情况。由买受人自行承担债权转让事实及债权催收无法通知债务人、担保人及其他义务人的法律后果。</w:t>
      </w:r>
    </w:p>
    <w:p>
      <w:pPr>
        <w:pageBreakBefore w:val="0"/>
        <w:numPr>
          <w:ilvl w:val="0"/>
          <w:numId w:val="0"/>
        </w:numPr>
        <w:kinsoku/>
        <w:overflowPunct/>
        <w:topLinePunct w:val="0"/>
        <w:autoSpaceDE/>
        <w:autoSpaceDN/>
        <w:bidi w:val="0"/>
        <w:adjustRightInd/>
        <w:snapToGrid/>
        <w:spacing w:beforeLines="0" w:afterLines="0"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8.竞买人</w:t>
      </w:r>
      <w:r>
        <w:rPr>
          <w:rFonts w:hint="eastAsia" w:ascii="仿宋_GB2312" w:hAnsi="仿宋_GB2312" w:eastAsia="仿宋_GB2312" w:cs="仿宋_GB2312"/>
          <w:sz w:val="32"/>
          <w:szCs w:val="32"/>
          <w:highlight w:val="none"/>
        </w:rPr>
        <w:t>是审慎的购买者，</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签署《资产状况及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》前，</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对标的资产的现状进行了审慎的调查，已对受让标的资产的</w:t>
      </w:r>
      <w:r>
        <w:rPr>
          <w:rFonts w:hint="eastAsia" w:ascii="仿宋_GB2312" w:hAnsi="仿宋_GB2312" w:eastAsia="仿宋_GB2312" w:cs="仿宋_GB2312"/>
          <w:sz w:val="32"/>
          <w:szCs w:val="32"/>
          <w:highlight w:val="none"/>
          <w:lang w:val="en-US" w:eastAsia="zh-CN"/>
        </w:rPr>
        <w:t>范围、</w:t>
      </w:r>
      <w:r>
        <w:rPr>
          <w:rFonts w:hint="eastAsia" w:ascii="仿宋_GB2312" w:hAnsi="仿宋_GB2312" w:eastAsia="仿宋_GB2312" w:cs="仿宋_GB2312"/>
          <w:sz w:val="32"/>
          <w:szCs w:val="32"/>
          <w:highlight w:val="none"/>
        </w:rPr>
        <w:t>性质、金额、真实性、合法性、有效性、存在的诉讼纠纷、实现权益的法律障碍等一切相关事项进行了充分的调查、了解。</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9.竞买人</w:t>
      </w:r>
      <w:r>
        <w:rPr>
          <w:rFonts w:hint="eastAsia" w:ascii="仿宋_GB2312" w:hAnsi="仿宋_GB2312" w:eastAsia="仿宋_GB2312" w:cs="仿宋_GB2312"/>
          <w:sz w:val="32"/>
          <w:szCs w:val="32"/>
          <w:highlight w:val="none"/>
        </w:rPr>
        <w:t>在此确认，</w:t>
      </w:r>
      <w:r>
        <w:rPr>
          <w:rFonts w:hint="eastAsia" w:ascii="仿宋_GB2312" w:hAnsi="仿宋_GB2312" w:eastAsia="仿宋_GB2312" w:cs="仿宋_GB2312"/>
          <w:sz w:val="32"/>
          <w:szCs w:val="32"/>
          <w:highlight w:val="none"/>
          <w:lang w:val="en-US" w:eastAsia="zh-CN"/>
        </w:rPr>
        <w:t>中信金资公司</w:t>
      </w:r>
      <w:r>
        <w:rPr>
          <w:rFonts w:hint="eastAsia" w:ascii="仿宋_GB2312" w:hAnsi="仿宋_GB2312" w:eastAsia="仿宋_GB2312" w:cs="仿宋_GB2312"/>
          <w:sz w:val="32"/>
          <w:szCs w:val="32"/>
          <w:highlight w:val="none"/>
        </w:rPr>
        <w:t>未就本《资产状况及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》转让标的资产的性质、状况或可回收性作出任何明示或暗示的声明或保证，</w:t>
      </w:r>
      <w:r>
        <w:rPr>
          <w:rFonts w:hint="eastAsia" w:ascii="仿宋_GB2312" w:hAnsi="仿宋_GB2312" w:eastAsia="仿宋_GB2312" w:cs="仿宋_GB2312"/>
          <w:sz w:val="32"/>
          <w:szCs w:val="32"/>
          <w:highlight w:val="none"/>
          <w:lang w:val="en-US" w:eastAsia="zh-CN"/>
        </w:rPr>
        <w:t>中信金资公司</w:t>
      </w:r>
      <w:r>
        <w:rPr>
          <w:rFonts w:hint="eastAsia" w:ascii="仿宋_GB2312" w:hAnsi="仿宋_GB2312" w:eastAsia="仿宋_GB2312" w:cs="仿宋_GB2312"/>
          <w:sz w:val="32"/>
          <w:szCs w:val="32"/>
          <w:highlight w:val="none"/>
        </w:rPr>
        <w:t>亦未对</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的预期收益做出任何明示或暗示的声明和保证。</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已被告知并完全理解资产及本次交易的风险，自愿承担因资产和本次交易的风险可能给其造成的一切损失以及不能获得预期利益的后果。</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基于独立慎重做出签署本《资产状况及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》的决定，同意按照现状收购本《资产状况及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》项下标的资产。</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竞价方式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本次竞价活动设置延时出价功能，在竞价活动结束前，每最后5分钟如果有竞买人出价，自动延迟5分钟；</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竞价起始价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本次竞价起始价为7,390</w:t>
      </w:r>
      <w:r>
        <w:rPr>
          <w:rFonts w:hint="eastAsia"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sz w:val="32"/>
          <w:szCs w:val="32"/>
          <w:lang w:val="en-US" w:eastAsia="zh-CN"/>
        </w:rPr>
        <w:t>；报价的加价幅度为10万元的整数倍。</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竞价保证金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参与本次竞价需交纳竞价保证金人民币：捌佰万元整（￥8,000,000.00元）。</w:t>
      </w:r>
      <w:r>
        <w:rPr>
          <w:rFonts w:hint="eastAsia" w:ascii="仿宋_GB2312" w:hAnsi="仿宋_GB2312" w:eastAsia="仿宋_GB2312" w:cs="仿宋_GB2312"/>
          <w:b/>
          <w:bCs/>
          <w:sz w:val="32"/>
          <w:szCs w:val="32"/>
          <w:highlight w:val="none"/>
          <w:lang w:val="en-US" w:eastAsia="zh-CN"/>
        </w:rPr>
        <w:t>竞价前竞买人需于2025年12月30日16:00前将足额保证金存入中信金资指定账户并完成资格审查后方可参与竞价</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lang w:val="en-US" w:eastAsia="zh-CN"/>
        </w:rPr>
        <w:t>竞价成交的，保证金自动转为转让价款。竞价未成交的，竞买人的保证金在竞价活动结束原路返回竞买人的银行账户，期间保证金不计利息。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竞买人按照拍卖平台要求线上缴存保证金，已线下向分公司交纳保证金的意向买受人可不再线上缴存保证金，保证金可冲抵首付款。中信金融资产吉林分公司的保证金账户信息如下：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户名：中国中信金融资产管理股份有限公司吉林省分公司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账号：4200223219200458949</w:t>
      </w:r>
    </w:p>
    <w:p>
      <w:pPr>
        <w:ind w:firstLine="640" w:firstLineChars="200"/>
        <w:jc w:val="left"/>
        <w:outlineLvl w:val="9"/>
        <w:rPr>
          <w:rFonts w:hint="eastAsia"/>
          <w:lang w:val="en-US" w:eastAsia="zh-CN"/>
        </w:rPr>
      </w:pPr>
      <w:r>
        <w:rPr>
          <w:rFonts w:hint="eastAsia" w:ascii="仿宋_GB2312" w:hAnsi="仿宋_GB2312" w:eastAsia="仿宋_GB2312" w:cs="仿宋_GB2312"/>
          <w:color w:val="000000"/>
          <w:sz w:val="32"/>
          <w:szCs w:val="32"/>
        </w:rPr>
        <w:t>开户行：中国工商银行股份有限公司长春经济技术开发区支行</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软件服务费缴纳情况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通过京东平台公开处置资产应缴纳平台技术服务费，京东网收取的平台技术服务费由买受人承担</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成交价款的结算时间和方式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1.竞价成交后，买受人应在中信金资公司通知的时间内完成债权转让协议的签署。买受人未在中信金资公司所通知的时间内到场履行债权转让协议签约手续时，由此引发的一切问题均由买受人承担；</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2.债权转让价款可以接受一次性或分期方式支付。</w:t>
      </w:r>
      <w:r>
        <w:rPr>
          <w:rFonts w:hint="eastAsia" w:ascii="仿宋_GB2312" w:hAnsi="仿宋" w:eastAsia="仿宋_GB2312" w:cs="Times New Roman"/>
          <w:sz w:val="32"/>
          <w:szCs w:val="32"/>
          <w:highlight w:val="none"/>
          <w:lang w:val="zh-CN" w:eastAsia="zh-CN"/>
        </w:rPr>
        <w:t>如采取一次性付款方式，买受人须在竞价成交之日起</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lang w:val="zh-CN" w:eastAsia="zh-CN"/>
        </w:rPr>
        <w:t>个工作日内，向</w:t>
      </w:r>
      <w:r>
        <w:rPr>
          <w:rFonts w:hint="eastAsia" w:ascii="仿宋_GB2312" w:hAnsi="仿宋" w:eastAsia="仿宋_GB2312" w:cs="Times New Roman"/>
          <w:sz w:val="32"/>
          <w:szCs w:val="32"/>
          <w:highlight w:val="none"/>
          <w:lang w:val="en-US" w:eastAsia="zh-CN"/>
        </w:rPr>
        <w:t>中信金资公司</w:t>
      </w:r>
      <w:r>
        <w:rPr>
          <w:rFonts w:hint="eastAsia" w:ascii="仿宋_GB2312" w:hAnsi="仿宋" w:eastAsia="仿宋_GB2312" w:cs="Times New Roman"/>
          <w:sz w:val="32"/>
          <w:szCs w:val="32"/>
          <w:highlight w:val="none"/>
          <w:lang w:val="zh-CN" w:eastAsia="zh-CN"/>
        </w:rPr>
        <w:t>支付全额债权转让价款。</w:t>
      </w:r>
      <w:r>
        <w:rPr>
          <w:rFonts w:hint="eastAsia" w:ascii="仿宋_GB2312" w:hAnsi="仿宋" w:eastAsia="仿宋_GB2312" w:cs="Times New Roman"/>
          <w:sz w:val="32"/>
          <w:szCs w:val="32"/>
          <w:highlight w:val="none"/>
          <w:lang w:val="en-US" w:eastAsia="zh-CN"/>
        </w:rPr>
        <w:t>如采用分期付款方式，具体付款</w:t>
      </w:r>
      <w:r>
        <w:rPr>
          <w:rFonts w:hint="eastAsia" w:ascii="仿宋_GB2312" w:hAnsi="仿宋" w:eastAsia="仿宋_GB2312" w:cs="Times New Roman"/>
          <w:sz w:val="32"/>
          <w:szCs w:val="32"/>
          <w:highlight w:val="none"/>
          <w:lang w:val="zh-CN" w:eastAsia="zh-CN"/>
        </w:rPr>
        <w:t>要求</w:t>
      </w:r>
      <w:r>
        <w:rPr>
          <w:rFonts w:hint="eastAsia" w:ascii="仿宋_GB2312" w:hAnsi="仿宋" w:eastAsia="仿宋_GB2312" w:cs="Times New Roman"/>
          <w:sz w:val="32"/>
          <w:szCs w:val="32"/>
          <w:highlight w:val="none"/>
          <w:lang w:val="en-US" w:eastAsia="zh-CN"/>
        </w:rPr>
        <w:t>为：买受人须在竞价成交之日起40个工作日内，向分公司支付不低于债权转让价款30%的首付款，剩余转让价款须自竞价成交之日</w:t>
      </w:r>
      <w:bookmarkStart w:id="0" w:name="_GoBack"/>
      <w:bookmarkEnd w:id="0"/>
      <w:r>
        <w:rPr>
          <w:rFonts w:hint="eastAsia" w:ascii="仿宋_GB2312" w:hAnsi="仿宋" w:eastAsia="仿宋_GB2312" w:cs="Times New Roman"/>
          <w:sz w:val="32"/>
          <w:szCs w:val="32"/>
          <w:highlight w:val="none"/>
          <w:lang w:val="en-US" w:eastAsia="zh-CN"/>
        </w:rPr>
        <w:t>起2年内全部支付完毕</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分期付款期间，以剩余未付债权转让价款为基数（自竞价成交之日起第41个工作日开始计算费用）、以资金实际占用天数（360天/年）、按照不低于5%/年计算并收取资金占用费，资金占用费应于每季度末月20日前支付；</w:t>
      </w:r>
    </w:p>
    <w:p>
      <w:pPr>
        <w:pStyle w:val="2"/>
        <w:ind w:left="0" w:leftChars="0" w:firstLine="640" w:firstLineChars="200"/>
        <w:rPr>
          <w:rFonts w:hint="default"/>
          <w:lang w:val="en-US" w:eastAsia="zh-CN"/>
        </w:rPr>
      </w:pPr>
      <w:r>
        <w:rPr>
          <w:rFonts w:hint="eastAsia" w:ascii="仿宋_GB2312" w:hAnsi="仿宋_GB2312" w:eastAsia="仿宋_GB2312" w:cs="仿宋_GB2312"/>
          <w:color w:val="000000"/>
          <w:sz w:val="32"/>
          <w:szCs w:val="32"/>
          <w:lang w:val="en-US" w:eastAsia="zh-CN"/>
        </w:rPr>
        <w:t>4.采用分期付款支付的，过渡期间，未交割债权发生现金回收的，除冲抵转让价款的尾款外，不得冲抵受让方未付转让价款。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5.买受人需通过中信金资公司指定账户支付缴纳债权转让价款</w:t>
      </w:r>
      <w:r>
        <w:rPr>
          <w:rFonts w:hint="default"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竞价成功后，买受人应在中信金资公司通知的时间内履行转让协议签约手续。若买受人未在所通知的时间内到场履行转让协议签约手续时，由此引发的一切问题均由买受人承担违约责任。若交易双方届时均未在所通知的时间内履行转让协议签约手续时，由此引发的一切问题均由交易双方通过法律途径自行解决，对此，中信金资公司不承担任何责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十</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竞价成功后，有关转让标的交割事项按转让协议有关约定进行交割。</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default" w:ascii="仿宋_GB2312" w:hAnsi="仿宋_GB2312" w:eastAsia="仿宋_GB2312" w:cs="仿宋_GB2312"/>
          <w:b w:val="0"/>
          <w:bCs w:val="0"/>
          <w:sz w:val="32"/>
          <w:szCs w:val="32"/>
          <w:highlight w:val="yellow"/>
          <w:lang w:val="en-US" w:eastAsia="zh-CN"/>
        </w:rPr>
      </w:pPr>
      <w:r>
        <w:rPr>
          <w:rFonts w:hint="default" w:ascii="仿宋_GB2312" w:hAnsi="仿宋_GB2312" w:eastAsia="仿宋_GB2312" w:cs="仿宋_GB2312"/>
          <w:b w:val="0"/>
          <w:bCs w:val="0"/>
          <w:sz w:val="32"/>
          <w:szCs w:val="32"/>
          <w:highlight w:val="none"/>
          <w:lang w:val="en-US" w:eastAsia="zh-CN"/>
        </w:rPr>
        <w:t>十一</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sz w:val="32"/>
          <w:szCs w:val="32"/>
          <w:highlight w:val="none"/>
        </w:rPr>
        <w:t>保证金罚没规则：如买受人未按竞价公告有关规定签署协议的，买受人不符合“竞买人条件”，未遵守我司标的债权公开处置的相关交易规则，对我公司承诺不实或有其他违约的，竞买人交纳的保证金归我公司所有，我公司有权组织重新竞价。我公司另行处置价格与本次转让价格差额及另行处置费用视为我方因买受人违约遭受的实际损失。</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十二</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合格竞买方参与本次竞价会，视同对转让标的已进行过尽职调查，且知悉转让标的所公开披露的全部信息及其可能存在的瑕疵。由此所产生的纠纷中信金资公司均不承担任何法律责任和赔偿义务。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十三</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资产转让过程中出现下列情形的，中国</w:t>
      </w:r>
      <w:r>
        <w:rPr>
          <w:rFonts w:hint="eastAsia" w:ascii="仿宋_GB2312" w:hAnsi="仿宋_GB2312" w:eastAsia="仿宋_GB2312" w:cs="仿宋_GB2312"/>
          <w:b w:val="0"/>
          <w:bCs w:val="0"/>
          <w:sz w:val="32"/>
          <w:szCs w:val="32"/>
          <w:lang w:val="en-US" w:eastAsia="zh-CN"/>
        </w:rPr>
        <w:t>中信金融</w:t>
      </w:r>
      <w:r>
        <w:rPr>
          <w:rFonts w:hint="default" w:ascii="仿宋_GB2312" w:hAnsi="仿宋_GB2312" w:eastAsia="仿宋_GB2312" w:cs="仿宋_GB2312"/>
          <w:b w:val="0"/>
          <w:bCs w:val="0"/>
          <w:sz w:val="32"/>
          <w:szCs w:val="32"/>
          <w:lang w:val="en-US" w:eastAsia="zh-CN"/>
        </w:rPr>
        <w:t>资产管理股份有限公司吉林省分公司可以要求转让方立即中止或者终结资产转让活动，同时</w:t>
      </w:r>
      <w:r>
        <w:rPr>
          <w:rFonts w:hint="eastAsia" w:ascii="仿宋_GB2312" w:hAnsi="仿宋_GB2312" w:eastAsia="仿宋_GB2312" w:cs="仿宋_GB2312"/>
          <w:b w:val="0"/>
          <w:bCs w:val="0"/>
          <w:sz w:val="32"/>
          <w:szCs w:val="32"/>
          <w:lang w:val="en-US" w:eastAsia="zh-CN"/>
        </w:rPr>
        <w:t>中信金资公司</w:t>
      </w:r>
      <w:r>
        <w:rPr>
          <w:rFonts w:hint="default" w:ascii="仿宋_GB2312" w:hAnsi="仿宋_GB2312" w:eastAsia="仿宋_GB2312" w:cs="仿宋_GB2312"/>
          <w:b w:val="0"/>
          <w:bCs w:val="0"/>
          <w:sz w:val="32"/>
          <w:szCs w:val="32"/>
          <w:lang w:val="en-US" w:eastAsia="zh-CN"/>
        </w:rPr>
        <w:t>有权直接做出资产转让活动中止和终结的决定：（1）存在违反国家法律法规或其他有关方提出争议情形时；（2）资产转让申请提交</w:t>
      </w:r>
      <w:r>
        <w:rPr>
          <w:rFonts w:hint="eastAsia" w:ascii="仿宋_GB2312" w:hAnsi="仿宋_GB2312" w:eastAsia="仿宋_GB2312" w:cs="仿宋_GB2312"/>
          <w:b w:val="0"/>
          <w:bCs w:val="0"/>
          <w:sz w:val="32"/>
          <w:szCs w:val="32"/>
          <w:lang w:val="en-US" w:eastAsia="zh-CN"/>
        </w:rPr>
        <w:t>中信金资公司</w:t>
      </w:r>
      <w:r>
        <w:rPr>
          <w:rFonts w:hint="default" w:ascii="仿宋_GB2312" w:hAnsi="仿宋_GB2312" w:eastAsia="仿宋_GB2312" w:cs="仿宋_GB2312"/>
          <w:b w:val="0"/>
          <w:bCs w:val="0"/>
          <w:sz w:val="32"/>
          <w:szCs w:val="32"/>
          <w:lang w:val="en-US" w:eastAsia="zh-CN"/>
        </w:rPr>
        <w:t>后，未实际在</w:t>
      </w:r>
      <w:r>
        <w:rPr>
          <w:rFonts w:hint="eastAsia" w:ascii="仿宋_GB2312" w:hAnsi="仿宋_GB2312" w:eastAsia="仿宋_GB2312" w:cs="仿宋_GB2312"/>
          <w:b w:val="0"/>
          <w:bCs w:val="0"/>
          <w:sz w:val="32"/>
          <w:szCs w:val="32"/>
          <w:lang w:val="en-US" w:eastAsia="zh-CN"/>
        </w:rPr>
        <w:t>中信金资公司</w:t>
      </w:r>
      <w:r>
        <w:rPr>
          <w:rFonts w:hint="default" w:ascii="仿宋_GB2312" w:hAnsi="仿宋_GB2312" w:eastAsia="仿宋_GB2312" w:cs="仿宋_GB2312"/>
          <w:b w:val="0"/>
          <w:bCs w:val="0"/>
          <w:sz w:val="32"/>
          <w:szCs w:val="32"/>
          <w:lang w:val="en-US" w:eastAsia="zh-CN"/>
        </w:rPr>
        <w:t>履行交易程序的；（3）在资产交易过程中出现违反各项交易规则、细则等相关规定，并妨碍正常交易秩序的；（4）交易双方及相关主体因纠纷争讼，由仲裁机构（或法院）做出中止和终结决定的。</w:t>
      </w:r>
    </w:p>
    <w:p>
      <w:pPr>
        <w:numPr>
          <w:ilvl w:val="0"/>
          <w:numId w:val="1"/>
        </w:numPr>
        <w:ind w:firstLine="640" w:firstLineChars="200"/>
        <w:jc w:val="left"/>
        <w:outlineLvl w:val="9"/>
        <w:rPr>
          <w:rFonts w:hint="default" w:ascii="黑体" w:hAnsi="黑体" w:eastAsia="黑体" w:cs="黑体"/>
          <w:sz w:val="32"/>
          <w:szCs w:val="32"/>
          <w:lang w:val="en-US" w:eastAsia="zh-CN"/>
        </w:rPr>
      </w:pPr>
      <w:r>
        <w:rPr>
          <w:rFonts w:hint="eastAsia" w:ascii="黑体" w:hAnsi="黑体" w:eastAsia="黑体" w:cs="黑体"/>
          <w:b w:val="0"/>
          <w:bCs w:val="0"/>
          <w:sz w:val="32"/>
          <w:szCs w:val="32"/>
          <w:lang w:val="en-US" w:eastAsia="zh-CN"/>
        </w:rPr>
        <w:t>违约责任</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1.任何一方因发生违约事件，应当承担违约责任；造成其他各方损失的，违约方还应赔偿守约方的损失，该等损失包括但不限于：守约方实际损失及预期利益、律师费用、诉讼费用、调查取证费用、交通费用等。</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2.如买受人发生任何违约事件，我司有权宣布本协议项下一切未到期的支付责任提前到期，买受人应在收到我司通知之日起三个工作日内履行全部提前到期的支付义务。</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 如买受人违反保证与承诺，我司除可以选择依据前述规定要求买受人承担违约责任、赔偿我司损失外，亦可选择解除本协议、要求买受人返还标的资产及赔偿我司损失。</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4.如因买受人、买受人的后手继受方或后续任何资产接收方违反相关协议约定，向我司或原债权人提出权利主张或追索，造成我司损失的，买受人应赔偿我司全部损失。</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如买受人未依本协议的约定支付标的资产转让价款、资金占用费（如有）、代垫费用(如有)、违约金（如有）的，则构成买受人的根本性违约，我司有权向买受人发出解除本协议的书面通知，并没收买受人已支付的资产转让价款、资金占用费（如有）、代垫费用(如有)、违约金（如有）及拍卖保证金；如果已支付的资产转让价款、资金占用费（如有）、代垫费用(如有)、违约金（如有）及拍卖保证金不足以弥补我司的所有损失，超出部分的损失由买受人予以赔偿。</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6.如买受人违反付款义务，未能按时足额支付相应款项，则每逾期一日，买受人按应付未付价款以 20%/年按日向我司支付违约金。</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7.如买受人迟延 10 日未向我司足额支付相应款项，则我司有权选择如下一种或几种方式要求买受人承担违约责任：</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（1）自买受人延期支付之日起3年内，我司有权解除本协议，买受人应向我司支付相应的违约金，违约金数额为转让价款的 20％（不含第6条所述违约金）；如违约金数额不足以弥补我司的实际损失，我司有权继续向买受人追索。</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（2）要求买受人继续履行本协议并按第6 条支付违约金。</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（3）本协议解除后，我司有权另行处置标的资产，若我司另行处置资产时的处置价格与本次资产转让价格之间的差额及另行处置所产生的费用视为我司因买受人违约而遭受实际损失之一。</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8.各方确认，如买受人违反付款义务，我司有权根据买受人违约情况，单独或同时要求买受人承担本协议项下部分或全部违约责任。</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9.如果买受人违反本协议约定的声明和保证或其它义务，我司有权选择：</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（1）全部或部分解除本协议，买受人应按约定向我司支付违约金。</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（2）不解除本协议，要求买受人继续履行本协议并赔偿我司的实际损失。</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val="0"/>
          <w:bCs w:val="0"/>
          <w:sz w:val="32"/>
          <w:szCs w:val="32"/>
          <w:lang w:val="en-US" w:eastAsia="zh-CN"/>
        </w:rPr>
        <w:t>十四</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特别提示：1、该债权资产至少须一人报名并缴纳相应竞买保证金后方可进入竞价程序。若只有一人报名且出价的，本债权资产将在补登3个工作日的公告后确认是否最终成交。</w:t>
      </w:r>
    </w:p>
    <w:p>
      <w:pPr>
        <w:pStyle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2、竞买人在竞买前对拟处置资产现场踏查、进行材料和实物现状核实等方式进行独立的调查和判断。凡参与竞买的，视为已充分了解已知风险并自愿承担未知风险。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w:t>
      </w:r>
      <w:r>
        <w:rPr>
          <w:rFonts w:hint="default" w:ascii="仿宋_GB2312" w:hAnsi="仿宋_GB2312" w:eastAsia="仿宋_GB2312" w:cs="仿宋_GB2312"/>
          <w:b w:val="0"/>
          <w:bCs w:val="0"/>
          <w:sz w:val="32"/>
          <w:szCs w:val="32"/>
          <w:lang w:val="en-US" w:eastAsia="zh-CN"/>
        </w:rPr>
        <w:t>本竞价须知由中国</w:t>
      </w:r>
      <w:r>
        <w:rPr>
          <w:rFonts w:hint="eastAsia" w:ascii="仿宋_GB2312" w:hAnsi="仿宋_GB2312" w:eastAsia="仿宋_GB2312" w:cs="仿宋_GB2312"/>
          <w:b w:val="0"/>
          <w:bCs w:val="0"/>
          <w:sz w:val="32"/>
          <w:szCs w:val="32"/>
          <w:lang w:val="en-US" w:eastAsia="zh-CN"/>
        </w:rPr>
        <w:t>中信金融</w:t>
      </w:r>
      <w:r>
        <w:rPr>
          <w:rFonts w:hint="default" w:ascii="仿宋_GB2312" w:hAnsi="仿宋_GB2312" w:eastAsia="仿宋_GB2312" w:cs="仿宋_GB2312"/>
          <w:b w:val="0"/>
          <w:bCs w:val="0"/>
          <w:sz w:val="32"/>
          <w:szCs w:val="32"/>
          <w:lang w:val="en-US" w:eastAsia="zh-CN"/>
        </w:rPr>
        <w:t>资产管理股份有限公司吉林省分公司负责解释。</w:t>
      </w:r>
    </w:p>
    <w:p>
      <w:pPr>
        <w:pStyle w:val="2"/>
        <w:rPr>
          <w:rFonts w:hint="default" w:ascii="仿宋_GB2312" w:hAnsi="仿宋_GB2312" w:eastAsia="仿宋_GB2312" w:cs="仿宋_GB2312"/>
          <w:b w:val="0"/>
          <w:bCs w:val="0"/>
          <w:sz w:val="32"/>
          <w:szCs w:val="32"/>
          <w:lang w:val="en-US" w:eastAsia="zh-CN"/>
        </w:rPr>
      </w:pPr>
    </w:p>
    <w:p>
      <w:pPr>
        <w:pStyle w:val="2"/>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中国</w:t>
      </w:r>
      <w:r>
        <w:rPr>
          <w:rFonts w:hint="eastAsia" w:ascii="仿宋_GB2312" w:hAnsi="仿宋_GB2312" w:eastAsia="仿宋_GB2312" w:cs="仿宋_GB2312"/>
          <w:b w:val="0"/>
          <w:bCs w:val="0"/>
          <w:sz w:val="32"/>
          <w:szCs w:val="32"/>
          <w:lang w:val="en-US" w:eastAsia="zh-CN"/>
        </w:rPr>
        <w:t>中信金融</w:t>
      </w:r>
      <w:r>
        <w:rPr>
          <w:rFonts w:hint="default" w:ascii="仿宋_GB2312" w:hAnsi="仿宋_GB2312" w:eastAsia="仿宋_GB2312" w:cs="仿宋_GB2312"/>
          <w:b w:val="0"/>
          <w:bCs w:val="0"/>
          <w:sz w:val="32"/>
          <w:szCs w:val="32"/>
          <w:lang w:val="en-US" w:eastAsia="zh-CN"/>
        </w:rPr>
        <w:t>资产管理股份有限公司吉林省分公司</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outlineLvl w:val="9"/>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highlight w:val="none"/>
          <w:lang w:val="en-US" w:eastAsia="zh-CN"/>
        </w:rPr>
        <w:t xml:space="preserve">   </w:t>
      </w:r>
      <w:r>
        <w:rPr>
          <w:rFonts w:hint="default"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lang w:val="en-US" w:eastAsia="zh-CN"/>
        </w:rPr>
        <w:t>25</w:t>
      </w:r>
      <w:r>
        <w:rPr>
          <w:rFonts w:hint="default" w:ascii="仿宋_GB2312" w:hAnsi="仿宋_GB2312" w:eastAsia="仿宋_GB2312" w:cs="仿宋_GB2312"/>
          <w:b w:val="0"/>
          <w:bCs w:val="0"/>
          <w:sz w:val="32"/>
          <w:szCs w:val="32"/>
          <w:highlight w:val="none"/>
          <w:lang w:val="en-US" w:eastAsia="zh-CN"/>
        </w:rPr>
        <w:t>年</w:t>
      </w:r>
      <w:r>
        <w:rPr>
          <w:rFonts w:hint="eastAsia" w:ascii="仿宋_GB2312" w:hAnsi="仿宋_GB2312" w:eastAsia="仿宋_GB2312" w:cs="仿宋_GB2312"/>
          <w:b w:val="0"/>
          <w:bCs w:val="0"/>
          <w:sz w:val="32"/>
          <w:szCs w:val="32"/>
          <w:highlight w:val="none"/>
          <w:lang w:val="en-US" w:eastAsia="zh-CN"/>
        </w:rPr>
        <w:t>12</w:t>
      </w:r>
      <w:r>
        <w:rPr>
          <w:rFonts w:hint="default" w:ascii="仿宋_GB2312" w:hAnsi="仿宋_GB2312" w:eastAsia="仿宋_GB2312" w:cs="仿宋_GB2312"/>
          <w:b w:val="0"/>
          <w:bCs w:val="0"/>
          <w:sz w:val="32"/>
          <w:szCs w:val="32"/>
          <w:highlight w:val="none"/>
          <w:lang w:val="en-US" w:eastAsia="zh-CN"/>
        </w:rPr>
        <w:t>月</w:t>
      </w:r>
      <w:r>
        <w:rPr>
          <w:rFonts w:hint="eastAsia" w:ascii="仿宋_GB2312" w:hAnsi="仿宋_GB2312" w:eastAsia="仿宋_GB2312" w:cs="仿宋_GB2312"/>
          <w:b w:val="0"/>
          <w:bCs w:val="0"/>
          <w:sz w:val="32"/>
          <w:szCs w:val="32"/>
          <w:highlight w:val="none"/>
          <w:lang w:val="en-US" w:eastAsia="zh-CN"/>
        </w:rPr>
        <w:t>24</w:t>
      </w:r>
      <w:r>
        <w:rPr>
          <w:rFonts w:hint="default" w:ascii="仿宋_GB2312" w:hAnsi="仿宋_GB2312" w:eastAsia="仿宋_GB2312" w:cs="仿宋_GB2312"/>
          <w:b w:val="0"/>
          <w:bCs w:val="0"/>
          <w:sz w:val="32"/>
          <w:szCs w:val="32"/>
          <w:highlight w:val="none"/>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4AC1C"/>
    <w:multiLevelType w:val="singleLevel"/>
    <w:tmpl w:val="61A4AC1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67B69"/>
    <w:rsid w:val="04E069A6"/>
    <w:rsid w:val="05DC7F58"/>
    <w:rsid w:val="062C4352"/>
    <w:rsid w:val="08AD003D"/>
    <w:rsid w:val="096F4A33"/>
    <w:rsid w:val="09D25E5E"/>
    <w:rsid w:val="0A3F53FC"/>
    <w:rsid w:val="0B713207"/>
    <w:rsid w:val="0BE06AB7"/>
    <w:rsid w:val="0D2364BD"/>
    <w:rsid w:val="0D5961E2"/>
    <w:rsid w:val="0FE82EA7"/>
    <w:rsid w:val="10353A79"/>
    <w:rsid w:val="11D60E5A"/>
    <w:rsid w:val="11D77C4F"/>
    <w:rsid w:val="13300B5C"/>
    <w:rsid w:val="13935EAB"/>
    <w:rsid w:val="13B50363"/>
    <w:rsid w:val="13BB7E54"/>
    <w:rsid w:val="13D53D11"/>
    <w:rsid w:val="17881C7F"/>
    <w:rsid w:val="19C95FDB"/>
    <w:rsid w:val="1A890188"/>
    <w:rsid w:val="1AB96560"/>
    <w:rsid w:val="1B103D73"/>
    <w:rsid w:val="1C4E6E53"/>
    <w:rsid w:val="1C7339BB"/>
    <w:rsid w:val="1CCE2CC9"/>
    <w:rsid w:val="1F1F6586"/>
    <w:rsid w:val="25C2077B"/>
    <w:rsid w:val="25E63F1A"/>
    <w:rsid w:val="27B53233"/>
    <w:rsid w:val="297663CF"/>
    <w:rsid w:val="29F02881"/>
    <w:rsid w:val="2B295F13"/>
    <w:rsid w:val="2DD227B8"/>
    <w:rsid w:val="2E14437E"/>
    <w:rsid w:val="303B0A3C"/>
    <w:rsid w:val="304F571D"/>
    <w:rsid w:val="30F80ED2"/>
    <w:rsid w:val="31D77150"/>
    <w:rsid w:val="32F70B88"/>
    <w:rsid w:val="35F75996"/>
    <w:rsid w:val="36143FD0"/>
    <w:rsid w:val="3618174E"/>
    <w:rsid w:val="36ED4C29"/>
    <w:rsid w:val="39DB4330"/>
    <w:rsid w:val="3A43715C"/>
    <w:rsid w:val="3BF32469"/>
    <w:rsid w:val="40A13D96"/>
    <w:rsid w:val="41456AA2"/>
    <w:rsid w:val="433409E5"/>
    <w:rsid w:val="465342A0"/>
    <w:rsid w:val="48DA7C77"/>
    <w:rsid w:val="497A049E"/>
    <w:rsid w:val="4B7D03E7"/>
    <w:rsid w:val="4BBE6C52"/>
    <w:rsid w:val="4CEB59EE"/>
    <w:rsid w:val="516B68A8"/>
    <w:rsid w:val="52FD5035"/>
    <w:rsid w:val="55226214"/>
    <w:rsid w:val="56985339"/>
    <w:rsid w:val="5AC3697C"/>
    <w:rsid w:val="5C4E7251"/>
    <w:rsid w:val="5D6800CD"/>
    <w:rsid w:val="62937FF8"/>
    <w:rsid w:val="63A34684"/>
    <w:rsid w:val="63AD32F6"/>
    <w:rsid w:val="63D1338E"/>
    <w:rsid w:val="641E1DD0"/>
    <w:rsid w:val="6578247C"/>
    <w:rsid w:val="670D3688"/>
    <w:rsid w:val="68F477AA"/>
    <w:rsid w:val="6A9D5A3E"/>
    <w:rsid w:val="6E0C201B"/>
    <w:rsid w:val="6ECC4FF7"/>
    <w:rsid w:val="71A51896"/>
    <w:rsid w:val="71C6009F"/>
    <w:rsid w:val="73903BD6"/>
    <w:rsid w:val="74DD2349"/>
    <w:rsid w:val="74F65471"/>
    <w:rsid w:val="755D1057"/>
    <w:rsid w:val="77DF14E2"/>
    <w:rsid w:val="79FF1DDE"/>
    <w:rsid w:val="7A4D5F33"/>
    <w:rsid w:val="7CC20EBA"/>
    <w:rsid w:val="7D023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11</TotalTime>
  <ScaleCrop>false</ScaleCrop>
  <LinksUpToDate>false</LinksUpToDate>
  <CharactersWithSpaces>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2024-12-02T08:23:00Z</dcterms:created>
  <dc:creator>Administrator</dc:creator>
  <cp:lastModifiedBy>陈冠东</cp:lastModifiedBy>
  <dcterms:modified xsi:type="dcterms:W3CDTF">2025-12-24T07:39:38Z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72DB07957AD9412C8A686C07D427B8CA</vt:lpwstr>
  </property>
</Properties>
</file>