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
        </w:tabs>
        <w:spacing w:line="520" w:lineRule="exact"/>
        <w:jc w:val="right"/>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ab/>
      </w:r>
    </w:p>
    <w:p>
      <w:pPr>
        <w:spacing w:line="520" w:lineRule="exact"/>
        <w:jc w:val="center"/>
        <w:rPr>
          <w:rFonts w:ascii="宋体" w:hAnsi="宋体"/>
          <w:bCs/>
          <w:color w:val="000000" w:themeColor="text1"/>
          <w:spacing w:val="60"/>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b/>
          <w:bCs/>
          <w:color w:val="000000" w:themeColor="text1"/>
          <w:spacing w:val="60"/>
          <w:sz w:val="48"/>
          <w:szCs w:val="48"/>
          <w14:textFill>
            <w14:solidFill>
              <w14:schemeClr w14:val="tx1"/>
            </w14:solidFill>
          </w14:textFill>
        </w:rPr>
      </w:pPr>
      <w:r>
        <w:rPr>
          <w:rFonts w:hint="eastAsia" w:ascii="宋体" w:hAnsi="宋体"/>
          <w:b/>
          <w:bCs/>
          <w:color w:val="000000" w:themeColor="text1"/>
          <w:spacing w:val="60"/>
          <w:sz w:val="48"/>
          <w:szCs w:val="48"/>
          <w14:textFill>
            <w14:solidFill>
              <w14:schemeClr w14:val="tx1"/>
            </w14:solidFill>
          </w14:textFill>
        </w:rPr>
        <w:t>委 托 处 置 协 议</w:t>
      </w: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spacing w:line="520" w:lineRule="exact"/>
        <w:jc w:val="center"/>
        <w:rPr>
          <w:rFonts w:ascii="宋体" w:hAnsi="宋体"/>
          <w:color w:val="000000" w:themeColor="text1"/>
          <w:sz w:val="28"/>
          <w:szCs w:val="28"/>
          <w14:textFill>
            <w14:solidFill>
              <w14:schemeClr w14:val="tx1"/>
            </w14:solidFill>
          </w14:textFill>
        </w:rPr>
      </w:pPr>
    </w:p>
    <w:p>
      <w:pPr>
        <w:widowControl/>
        <w:spacing w:line="520" w:lineRule="exact"/>
        <w:jc w:val="center"/>
        <w:rPr>
          <w:rFonts w:ascii="宋体" w:hAnsi="宋体"/>
          <w:b/>
          <w:bCs/>
          <w:color w:val="000000" w:themeColor="text1"/>
          <w:sz w:val="44"/>
          <w:szCs w:val="44"/>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r>
        <w:rPr>
          <w:rFonts w:hint="eastAsia" w:ascii="宋体" w:hAnsi="宋体"/>
          <w:b/>
          <w:bCs/>
          <w:color w:val="000000" w:themeColor="text1"/>
          <w:sz w:val="44"/>
          <w:szCs w:val="44"/>
          <w14:textFill>
            <w14:solidFill>
              <w14:schemeClr w14:val="tx1"/>
            </w14:solidFill>
          </w14:textFill>
        </w:rPr>
        <w:t>委托处置协议</w:t>
      </w:r>
    </w:p>
    <w:p>
      <w:pPr>
        <w:spacing w:line="520" w:lineRule="exact"/>
        <w:ind w:firstLine="420"/>
        <w:jc w:val="center"/>
        <w:rPr>
          <w:rFonts w:ascii="宋体" w:hAnsi="宋体"/>
          <w:b/>
          <w:bCs/>
          <w:color w:val="000000" w:themeColor="text1"/>
          <w:sz w:val="28"/>
          <w:szCs w:val="28"/>
          <w14:textFill>
            <w14:solidFill>
              <w14:schemeClr w14:val="tx1"/>
            </w14:solidFill>
          </w14:textFill>
        </w:rPr>
      </w:pPr>
    </w:p>
    <w:p>
      <w:pPr>
        <w:spacing w:line="52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甲方（委托方）：</w:t>
      </w:r>
    </w:p>
    <w:p>
      <w:pPr>
        <w:spacing w:line="5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住所：</w:t>
      </w:r>
    </w:p>
    <w:p>
      <w:pPr>
        <w:spacing w:line="5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w:t>
      </w:r>
    </w:p>
    <w:p>
      <w:pPr>
        <w:pStyle w:val="5"/>
      </w:pPr>
    </w:p>
    <w:p>
      <w:pPr>
        <w:spacing w:line="52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乙方（受托方）：中国</w:t>
      </w:r>
      <w:r>
        <w:rPr>
          <w:rFonts w:hint="eastAsia" w:ascii="宋体" w:hAnsi="宋体"/>
          <w:b/>
          <w:color w:val="000000" w:themeColor="text1"/>
          <w:sz w:val="28"/>
          <w:szCs w:val="28"/>
          <w:lang w:val="en-US" w:eastAsia="zh-CN"/>
          <w14:textFill>
            <w14:solidFill>
              <w14:schemeClr w14:val="tx1"/>
            </w14:solidFill>
          </w14:textFill>
        </w:rPr>
        <w:t>中信</w:t>
      </w:r>
      <w:r>
        <w:rPr>
          <w:rFonts w:hint="eastAsia" w:ascii="宋体" w:hAnsi="宋体"/>
          <w:b/>
          <w:color w:val="000000" w:themeColor="text1"/>
          <w:sz w:val="28"/>
          <w:szCs w:val="28"/>
          <w14:textFill>
            <w14:solidFill>
              <w14:schemeClr w14:val="tx1"/>
            </w14:solidFill>
          </w14:textFill>
        </w:rPr>
        <w:t>资产管理股份有限公司</w:t>
      </w:r>
      <w:r>
        <w:rPr>
          <w:rFonts w:hint="eastAsia" w:ascii="宋体" w:hAnsi="宋体"/>
          <w:b/>
          <w:color w:val="000000" w:themeColor="text1"/>
          <w:sz w:val="28"/>
          <w:szCs w:val="28"/>
          <w:lang w:val="en-US" w:eastAsia="zh-CN"/>
          <w14:textFill>
            <w14:solidFill>
              <w14:schemeClr w14:val="tx1"/>
            </w14:solidFill>
          </w14:textFill>
        </w:rPr>
        <w:t>大连市</w:t>
      </w:r>
      <w:r>
        <w:rPr>
          <w:rFonts w:hint="eastAsia" w:ascii="宋体" w:hAnsi="宋体"/>
          <w:b/>
          <w:color w:val="000000" w:themeColor="text1"/>
          <w:sz w:val="28"/>
          <w:szCs w:val="28"/>
          <w14:textFill>
            <w14:solidFill>
              <w14:schemeClr w14:val="tx1"/>
            </w14:solidFill>
          </w14:textFill>
        </w:rPr>
        <w:t>分公司</w:t>
      </w:r>
    </w:p>
    <w:p>
      <w:pPr>
        <w:spacing w:line="5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w:t>
      </w:r>
    </w:p>
    <w:p>
      <w:pPr>
        <w:spacing w:line="52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地址：大连市西岗区更新街51号</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spacing w:line="520" w:lineRule="exact"/>
        <w:rPr>
          <w:rFonts w:ascii="宋体" w:hAnsi="宋体"/>
          <w:color w:val="000000" w:themeColor="text1"/>
          <w:sz w:val="28"/>
          <w:szCs w:val="28"/>
          <w14:textFill>
            <w14:solidFill>
              <w14:schemeClr w14:val="tx1"/>
            </w14:solidFill>
          </w14:textFill>
        </w:rPr>
      </w:pPr>
    </w:p>
    <w:p>
      <w:pPr>
        <w:pStyle w:val="5"/>
        <w:ind w:firstLine="0"/>
        <w:rPr>
          <w:rFonts w:ascii="宋体" w:hAnsi="宋体" w:eastAsia="宋体"/>
          <w:color w:val="000000" w:themeColor="text1"/>
          <w:kern w:val="2"/>
          <w:sz w:val="28"/>
          <w:szCs w:val="28"/>
          <w:lang w:eastAsia="zh-CN"/>
          <w14:textFill>
            <w14:solidFill>
              <w14:schemeClr w14:val="tx1"/>
            </w14:solidFill>
          </w14:textFill>
        </w:rPr>
      </w:pPr>
    </w:p>
    <w:p>
      <w:pPr>
        <w:pStyle w:val="5"/>
        <w:ind w:firstLine="0"/>
        <w:rPr>
          <w:rFonts w:eastAsia="宋体"/>
          <w:lang w:eastAsia="zh-CN"/>
        </w:rPr>
      </w:pPr>
    </w:p>
    <w:p>
      <w:pPr>
        <w:pStyle w:val="5"/>
        <w:ind w:firstLine="0"/>
        <w:rPr>
          <w:rFonts w:eastAsia="宋体"/>
          <w:lang w:eastAsia="zh-CN"/>
        </w:rPr>
      </w:pPr>
    </w:p>
    <w:p>
      <w:pPr>
        <w:pStyle w:val="5"/>
        <w:ind w:firstLine="0"/>
        <w:rPr>
          <w:rFonts w:eastAsia="宋体"/>
          <w:lang w:eastAsia="zh-CN"/>
        </w:rPr>
      </w:pPr>
      <w:r>
        <w:rPr>
          <w:rFonts w:hint="eastAsia" w:eastAsia="宋体"/>
          <w:lang w:eastAsia="zh-CN"/>
        </w:rPr>
        <w:t>———————————</w:t>
      </w:r>
    </w:p>
    <w:p>
      <w:pPr>
        <w:snapToGrid w:val="0"/>
        <w:spacing w:line="520" w:lineRule="exact"/>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协议签订地点：</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鉴于：</w:t>
      </w:r>
    </w:p>
    <w:p>
      <w:pPr>
        <w:numPr>
          <w:ilvl w:val="255"/>
          <w:numId w:val="0"/>
        </w:num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1.甲方拥有签署和履行本协议以及履行本协议项下交易的授权和权利。</w:t>
      </w:r>
    </w:p>
    <w:p>
      <w:pPr>
        <w:numPr>
          <w:ilvl w:val="255"/>
          <w:numId w:val="0"/>
        </w:numPr>
        <w:spacing w:line="520" w:lineRule="exact"/>
        <w:ind w:firstLine="560" w:firstLineChars="200"/>
      </w:pPr>
      <w:r>
        <w:rPr>
          <w:rFonts w:ascii="宋体" w:hAnsi="宋体"/>
          <w:bCs/>
          <w:color w:val="000000" w:themeColor="text1"/>
          <w:sz w:val="28"/>
          <w:szCs w:val="28"/>
          <w14:textFill>
            <w14:solidFill>
              <w14:schemeClr w14:val="tx1"/>
            </w14:solidFill>
          </w14:textFill>
        </w:rPr>
        <w:t>2.乙方为资产转让协议转让方，</w:t>
      </w:r>
      <w:r>
        <w:rPr>
          <w:rFonts w:hint="eastAsia" w:ascii="宋体" w:hAnsi="宋体"/>
          <w:bCs/>
          <w:color w:val="000000" w:themeColor="text1"/>
          <w:sz w:val="28"/>
          <w:szCs w:val="28"/>
          <w:lang w:val="en-US" w:eastAsia="zh-CN"/>
          <w14:textFill>
            <w14:solidFill>
              <w14:schemeClr w14:val="tx1"/>
            </w14:solidFill>
          </w14:textFill>
        </w:rPr>
        <w:t>有权作为</w:t>
      </w:r>
      <w:r>
        <w:rPr>
          <w:rFonts w:ascii="宋体" w:hAnsi="宋体"/>
          <w:bCs/>
          <w:color w:val="000000" w:themeColor="text1"/>
          <w:sz w:val="28"/>
          <w:szCs w:val="28"/>
          <w14:textFill>
            <w14:solidFill>
              <w14:schemeClr w14:val="tx1"/>
            </w14:solidFill>
          </w14:textFill>
        </w:rPr>
        <w:t>转让方签署本协议。</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3.甲方是</w:t>
      </w:r>
      <w:r>
        <w:rPr>
          <w:rFonts w:hint="eastAsia" w:asciiTheme="minorEastAsia" w:hAnsiTheme="minorEastAsia" w:eastAsiaTheme="minorEastAsia"/>
          <w:color w:val="000000" w:themeColor="text1"/>
          <w:sz w:val="28"/>
          <w:szCs w:val="28"/>
          <w14:textFill>
            <w14:solidFill>
              <w14:schemeClr w14:val="tx1"/>
            </w14:solidFill>
          </w14:textFill>
        </w:rPr>
        <w:t>第1.1条规定的</w:t>
      </w:r>
      <w:r>
        <w:rPr>
          <w:rFonts w:hint="eastAsia" w:ascii="宋体" w:hAnsi="宋体"/>
          <w:bCs/>
          <w:color w:val="000000" w:themeColor="text1"/>
          <w:sz w:val="28"/>
          <w:szCs w:val="28"/>
          <w14:textFill>
            <w14:solidFill>
              <w14:schemeClr w14:val="tx1"/>
            </w14:solidFill>
          </w14:textFill>
        </w:rPr>
        <w:t>标的资产的合法权利人。</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4.甲方完全有权委托处置本协议项下的标的资产，无需其他任何义务人或第三方的同意。</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5.甲乙双方在平等互利、协商一致的基础上，就受托事宜达成如下协议：</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第一条 定义</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除非另有特别解释或说明,在本协议及本协议各方另行签署的其他相关文件中,下列用语均依如下定义进行解释:</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1.1 标的资产：[</w:t>
      </w:r>
      <w:r>
        <w:rPr>
          <w:rFonts w:hint="eastAsia" w:ascii="宋体" w:hAnsi="宋体"/>
          <w:bCs/>
          <w:color w:val="000000" w:themeColor="text1"/>
          <w:sz w:val="28"/>
          <w:szCs w:val="28"/>
          <w:lang w:val="en-US"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 xml:space="preserve">]。相关信息见附件一《标的资产清单》。  </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1.2 资产处置费用：本协议约定的受托期限内，受托方在管理、维护、处置标的资产过程中，依据有关法律、法规或相关协议发生的与标的资产管理、维护、处置业务相关的、合理的费用，包括但不限于：(1)在处置过程中发生的法院收取的保全费用、诉讼费用、执行费用或仲裁机构收取的评估费、拍卖费、公告费等；(2)在处置过程中为管理、维护标的资产的权利而发生的费用，如过户费、公告费、诉讼费、执行费、司法评估费、破产费用、催收费用等；(3)通过公告、拍卖、招标、产权公开转让等公开方式处置标的资产而向中介机构和媒体支付的费用；(</w:t>
      </w:r>
      <w:r>
        <w:rPr>
          <w:rFonts w:hint="eastAsia" w:ascii="宋体" w:hAnsi="宋体"/>
          <w:bCs/>
          <w:color w:val="000000" w:themeColor="text1"/>
          <w:sz w:val="28"/>
          <w:szCs w:val="28"/>
          <w:highlight w:val="none"/>
          <w14:textFill>
            <w14:solidFill>
              <w14:schemeClr w14:val="tx1"/>
            </w14:solidFill>
          </w14:textFill>
        </w:rPr>
        <w:t>4) 债转股的相关费用（包括但不限于评估费用、过户费用及相关税费等）（5）以物抵债的相关费用（包括但不限于后期物业管理费用、过户费用</w:t>
      </w:r>
      <w:r>
        <w:rPr>
          <w:rFonts w:hint="eastAsia" w:ascii="宋体" w:hAnsi="宋体"/>
          <w:bCs/>
          <w:color w:val="000000" w:themeColor="text1"/>
          <w:sz w:val="28"/>
          <w:szCs w:val="28"/>
          <w:highlight w:val="none"/>
          <w:lang w:eastAsia="zh-CN"/>
          <w14:textFill>
            <w14:solidFill>
              <w14:schemeClr w14:val="tx1"/>
            </w14:solidFill>
          </w14:textFill>
        </w:rPr>
        <w:t>、</w:t>
      </w:r>
      <w:r>
        <w:rPr>
          <w:rFonts w:hint="default" w:ascii="宋体" w:hAnsi="宋体"/>
          <w:bCs/>
          <w:color w:val="000000" w:themeColor="text1"/>
          <w:sz w:val="28"/>
          <w:szCs w:val="28"/>
          <w:highlight w:val="none"/>
          <w:lang w:eastAsia="zh-CN"/>
          <w14:textFill>
            <w14:solidFill>
              <w14:schemeClr w14:val="tx1"/>
            </w14:solidFill>
          </w14:textFill>
        </w:rPr>
        <w:t>抵债资产</w:t>
      </w:r>
      <w:r>
        <w:rPr>
          <w:rFonts w:hint="eastAsia" w:ascii="宋体" w:hAnsi="宋体"/>
          <w:bCs/>
          <w:color w:val="000000" w:themeColor="text1"/>
          <w:sz w:val="28"/>
          <w:szCs w:val="28"/>
          <w:highlight w:val="none"/>
          <w:lang w:val="en-US" w:eastAsia="zh-CN"/>
          <w14:textFill>
            <w14:solidFill>
              <w14:schemeClr w14:val="tx1"/>
            </w14:solidFill>
          </w14:textFill>
        </w:rPr>
        <w:t>持有期间的税费、委托期间届满抵债资产过户至甲方的税费</w:t>
      </w:r>
      <w:r>
        <w:rPr>
          <w:rFonts w:hint="eastAsia" w:ascii="宋体" w:hAnsi="宋体"/>
          <w:bCs/>
          <w:color w:val="000000" w:themeColor="text1"/>
          <w:sz w:val="28"/>
          <w:szCs w:val="28"/>
          <w:highlight w:val="none"/>
          <w14:textFill>
            <w14:solidFill>
              <w14:schemeClr w14:val="tx1"/>
            </w14:solidFill>
          </w14:textFill>
        </w:rPr>
        <w:t>及相关税费等）（6）向律</w:t>
      </w:r>
      <w:r>
        <w:rPr>
          <w:rFonts w:hint="eastAsia" w:ascii="宋体" w:hAnsi="宋体"/>
          <w:bCs/>
          <w:color w:val="000000" w:themeColor="text1"/>
          <w:sz w:val="28"/>
          <w:szCs w:val="28"/>
          <w14:textFill>
            <w14:solidFill>
              <w14:schemeClr w14:val="tx1"/>
            </w14:solidFill>
          </w14:textFill>
        </w:rPr>
        <w:t>师、会计师、评估师或其他顾问支付的费用；（7）在资产处置过程中发生的过户费、公告费等；(8)因进行评估、信用报告和准备文件而发生的开支。</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1.3受托方：本协议项下受托方为资产转让协议转让方。</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1.4 回收净现金额：指标的资产回收现金扣除1.2资产处置费用后的金额。</w:t>
      </w:r>
    </w:p>
    <w:p>
      <w:pPr>
        <w:pStyle w:val="5"/>
        <w:ind w:firstLine="560"/>
        <w:rPr>
          <w:rFonts w:ascii="宋体" w:hAnsi="宋体" w:eastAsia="宋体"/>
          <w:bCs/>
          <w:color w:val="000000" w:themeColor="text1"/>
          <w:sz w:val="28"/>
          <w:szCs w:val="28"/>
          <w:lang w:eastAsia="zh-CN"/>
          <w14:textFill>
            <w14:solidFill>
              <w14:schemeClr w14:val="tx1"/>
            </w14:solidFill>
          </w14:textFill>
        </w:rPr>
      </w:pPr>
    </w:p>
    <w:p>
      <w:pPr>
        <w:pStyle w:val="5"/>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第二条 授权和受托</w:t>
      </w:r>
      <w:r>
        <w:rPr>
          <w:rFonts w:hint="eastAsia" w:ascii="宋体" w:hAnsi="宋体"/>
          <w:b/>
          <w:bCs/>
          <w:color w:val="000000" w:themeColor="text1"/>
          <w:sz w:val="28"/>
          <w:szCs w:val="28"/>
          <w14:textFill>
            <w14:solidFill>
              <w14:schemeClr w14:val="tx1"/>
            </w14:solidFill>
          </w14:textFill>
        </w:rPr>
        <w:tab/>
      </w:r>
    </w:p>
    <w:p>
      <w:pPr>
        <w:tabs>
          <w:tab w:val="left" w:pos="0"/>
        </w:tabs>
        <w:topLinePunct/>
        <w:snapToGrid w:val="0"/>
        <w:spacing w:line="560" w:lineRule="exact"/>
        <w:ind w:right="-85"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2.1 委托范围：甲方本次委托乙方处置的标的资产共</w:t>
      </w:r>
      <w:r>
        <w:rPr>
          <w:rFonts w:hint="eastAsia" w:ascii="宋体" w:hAnsi="宋体"/>
          <w:bCs/>
          <w:color w:val="000000" w:themeColor="text1"/>
          <w:sz w:val="28"/>
          <w:szCs w:val="28"/>
          <w:lang w:val="en-US" w:eastAsia="zh-CN"/>
          <w14:textFill>
            <w14:solidFill>
              <w14:schemeClr w14:val="tx1"/>
            </w14:solidFill>
          </w14:textFill>
        </w:rPr>
        <w:t>27</w:t>
      </w:r>
      <w:r>
        <w:rPr>
          <w:rFonts w:hint="eastAsia" w:ascii="宋体" w:hAnsi="宋体"/>
          <w:bCs/>
          <w:color w:val="000000" w:themeColor="text1"/>
          <w:sz w:val="28"/>
          <w:szCs w:val="28"/>
          <w14:textFill>
            <w14:solidFill>
              <w14:schemeClr w14:val="tx1"/>
            </w14:solidFill>
          </w14:textFill>
        </w:rPr>
        <w:t>笔，截至</w:t>
      </w:r>
      <w:r>
        <w:rPr>
          <w:rFonts w:asciiTheme="minorEastAsia" w:hAnsiTheme="minorEastAsia" w:eastAsiaTheme="minorEastAsia"/>
          <w:color w:val="000000" w:themeColor="text1"/>
          <w:sz w:val="28"/>
          <w:szCs w:val="28"/>
          <w14:textFill>
            <w14:solidFill>
              <w14:schemeClr w14:val="tx1"/>
            </w14:solidFill>
          </w14:textFill>
        </w:rPr>
        <w:t>交易基</w:t>
      </w:r>
      <w:r>
        <w:rPr>
          <w:rFonts w:asciiTheme="minorEastAsia" w:hAnsiTheme="minorEastAsia" w:eastAsiaTheme="minorEastAsia"/>
          <w:color w:val="000000" w:themeColor="text1"/>
          <w:sz w:val="28"/>
          <w:szCs w:val="28"/>
          <w:highlight w:val="none"/>
          <w14:textFill>
            <w14:solidFill>
              <w14:schemeClr w14:val="tx1"/>
            </w14:solidFill>
          </w14:textFill>
        </w:rPr>
        <w:t>准日</w:t>
      </w: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02</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9</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日，</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拟处置27户债权本息总额为人民币贰拾玖亿贰仟零柒拾贰万玖仟壹佰元（小写：¥2,920,729,100.00元），其中本金余额为人民币壹拾贰亿捌仟肆佰壹拾玖万叁仟捌佰元（小写：¥1,284,193,800.00元）</w:t>
      </w:r>
      <w:r>
        <w:rPr>
          <w:rFonts w:hint="eastAsia" w:cs="Times New Roman" w:asciiTheme="minorEastAsia" w:hAnsiTheme="minorEastAsia" w:eastAsiaTheme="minorEastAsia"/>
          <w:color w:val="000000" w:themeColor="text1"/>
          <w:sz w:val="28"/>
          <w:szCs w:val="28"/>
          <w:highlight w:val="none"/>
          <w:lang w:val="en-US" w:eastAsia="zh-CN"/>
          <w14:textFill>
            <w14:solidFill>
              <w14:schemeClr w14:val="tx1"/>
            </w14:solidFill>
          </w14:textFill>
        </w:rPr>
        <w:t>，利息罚息人民币壹拾陆亿叁仟贰佰捌拾叁万陆仟叁佰元（小写：¥ 1,632,836,300.00元），代垫费用为叁佰陆拾玖万玖仟元（小写：¥3,699,000.00元）。（详见附件一《</w:t>
      </w:r>
      <w:r>
        <w:rPr>
          <w:rFonts w:hint="eastAsia" w:ascii="宋体" w:hAnsi="宋体"/>
          <w:bCs/>
          <w:color w:val="000000" w:themeColor="text1"/>
          <w:sz w:val="28"/>
          <w:szCs w:val="28"/>
          <w14:textFill>
            <w14:solidFill>
              <w14:schemeClr w14:val="tx1"/>
            </w14:solidFill>
          </w14:textFill>
        </w:rPr>
        <w:t>标的资产清单》</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2.2</w:t>
      </w:r>
      <w:r>
        <w:rPr>
          <w:rFonts w:hint="eastAsia" w:ascii="宋体" w:hAnsi="宋体"/>
          <w:bCs/>
          <w:color w:val="000000" w:themeColor="text1"/>
          <w:sz w:val="28"/>
          <w:szCs w:val="28"/>
          <w14:textFill>
            <w14:solidFill>
              <w14:schemeClr w14:val="tx1"/>
            </w14:solidFill>
          </w14:textFill>
        </w:rPr>
        <w:t>受托事项：受托方接受甲方委托，综合运用符合国家及地方法律法规规定和各方约定的各种方式管理、处置本协议项下标的资产。</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受托期限：本协议项下标的资产的受托期限为自本协议生效之日起[36]月，委托期限届满，若本协议项下标的资产尚未处置完毕，经双方协商一致，可续签协议，每次延长期限不超过</w:t>
      </w:r>
      <w:r>
        <w:rPr>
          <w:rFonts w:hint="eastAsia" w:ascii="宋体" w:hAnsi="宋体"/>
          <w:bCs/>
          <w:color w:val="000000" w:themeColor="text1"/>
          <w:sz w:val="28"/>
          <w:szCs w:val="28"/>
          <w:lang w:val="en-US" w:eastAsia="zh-CN"/>
          <w14:textFill>
            <w14:solidFill>
              <w14:schemeClr w14:val="tx1"/>
            </w14:solidFill>
          </w14:textFill>
        </w:rPr>
        <w:t>2</w:t>
      </w:r>
      <w:r>
        <w:rPr>
          <w:rFonts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14:textFill>
            <w14:solidFill>
              <w14:schemeClr w14:val="tx1"/>
            </w14:solidFill>
          </w14:textFill>
        </w:rPr>
        <w:t>。</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 xml:space="preserve"> 授权：甲方授权受托方管理及处置标的资产,受托方可以以[自身]的名义进行标的资产的管理与处置，各方另有约定的除外。</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受托方基于本受托处置协议即取得对标的资产的委托代理权限，如因诉讼或其它特殊事项需甲方书面授权，甲方应及时向受托方出具授权委托书。</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 转委托：为标的资产的管理和处置和甲方利益出发，受托方</w:t>
      </w:r>
      <w:r>
        <w:rPr>
          <w:rFonts w:ascii="宋体" w:hAnsi="宋体"/>
          <w:bCs/>
          <w:color w:val="000000" w:themeColor="text1"/>
          <w:sz w:val="28"/>
          <w:szCs w:val="28"/>
          <w14:textFill>
            <w14:solidFill>
              <w14:schemeClr w14:val="tx1"/>
            </w14:solidFill>
          </w14:textFill>
        </w:rPr>
        <w:t>按照内部审批流程选聘后可</w:t>
      </w:r>
      <w:r>
        <w:rPr>
          <w:rFonts w:hint="eastAsia" w:ascii="宋体" w:hAnsi="宋体"/>
          <w:bCs/>
          <w:color w:val="000000" w:themeColor="text1"/>
          <w:sz w:val="28"/>
          <w:szCs w:val="28"/>
          <w14:textFill>
            <w14:solidFill>
              <w14:schemeClr w14:val="tx1"/>
            </w14:solidFill>
          </w14:textFill>
        </w:rPr>
        <w:t>将部分事项委托第三人（包括但不限于律师事务所、会计师事务所、其他中介机构或个人等）代为完成相应工作。</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2.6甲方不得在受托期限内将标的资产同时委托给第三人处置。</w:t>
      </w:r>
    </w:p>
    <w:p>
      <w:pPr>
        <w:spacing w:line="52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第三条 处置</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3.1 处置权：受托方应按照本协议约定的委托代理权限或甲方出具的授权委托书对标的资产实施处置。除另有约定外，</w:t>
      </w:r>
      <w:r>
        <w:rPr>
          <w:rFonts w:hint="eastAsia" w:ascii="宋体" w:hAnsi="宋体" w:cs="Times New Roman"/>
          <w:bCs/>
          <w:color w:val="000000" w:themeColor="text1"/>
          <w:sz w:val="28"/>
          <w:szCs w:val="28"/>
          <w:lang w:bidi="ar"/>
          <w14:textFill>
            <w14:solidFill>
              <w14:schemeClr w14:val="tx1"/>
            </w14:solidFill>
          </w14:textFill>
        </w:rPr>
        <w:t>受托方应参照自有资产管理处置标的资产。</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3.2 处置方式：在符合国家法律、法规、监管政策下，甲方委托受托方综合运用拍卖、招标、协议转让、资产置换、公开竞价、打包处置、折扣变现、债转股、以物抵债等多种处置方式处置标的资产。</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受托方受托管理及处置资产的方式包括但不限于下列方式：</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（1）对标的资产涉及的义务人直接主张权利,要求义务人履行义务；</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（2）对标的资产涉及的义务人提起诉讼、仲裁或申请强制执行;</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（3）将标的资产以合适的方式出售或转让予第三人（包括但不限于整体出售、打包出售及单项资产出售）；</w:t>
      </w:r>
    </w:p>
    <w:p>
      <w:pPr>
        <w:pStyle w:val="6"/>
        <w:spacing w:line="520" w:lineRule="exact"/>
        <w:ind w:left="0" w:leftChars="0"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（4）以其他合法及适当的方式对标的资产进行管理及处置。</w:t>
      </w:r>
    </w:p>
    <w:p>
      <w:pPr>
        <w:pStyle w:val="5"/>
        <w:ind w:firstLine="560" w:firstLineChars="200"/>
        <w:rPr>
          <w:rFonts w:ascii="宋体" w:hAnsi="宋体" w:eastAsia="宋体"/>
          <w:bCs/>
          <w:color w:val="000000" w:themeColor="text1"/>
          <w:sz w:val="28"/>
          <w:szCs w:val="28"/>
          <w:lang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3.3</w:t>
      </w:r>
      <w:r>
        <w:rPr>
          <w:rFonts w:hint="eastAsia" w:ascii="宋体" w:hAnsi="宋体" w:eastAsia="宋体"/>
          <w:bCs/>
          <w:color w:val="000000" w:themeColor="text1"/>
          <w:sz w:val="28"/>
          <w:szCs w:val="28"/>
          <w:lang w:eastAsia="zh-CN"/>
          <w14:textFill>
            <w14:solidFill>
              <w14:schemeClr w14:val="tx1"/>
            </w14:solidFill>
          </w14:textFill>
        </w:rPr>
        <w:t>处置授权</w:t>
      </w:r>
    </w:p>
    <w:p>
      <w:pPr>
        <w:pStyle w:val="5"/>
        <w:ind w:firstLine="560" w:firstLineChars="200"/>
        <w:rPr>
          <w:rFonts w:ascii="宋体" w:hAnsi="宋体" w:eastAsia="宋体"/>
          <w:bCs/>
          <w:color w:val="000000" w:themeColor="text1"/>
          <w:kern w:val="2"/>
          <w:sz w:val="28"/>
          <w:szCs w:val="28"/>
          <w:lang w:eastAsia="zh-CN"/>
          <w14:textFill>
            <w14:solidFill>
              <w14:schemeClr w14:val="tx1"/>
            </w14:solidFill>
          </w14:textFill>
        </w:rPr>
      </w:pPr>
      <w:r>
        <w:rPr>
          <w:rFonts w:hint="eastAsia" w:ascii="宋体" w:hAnsi="宋体" w:eastAsia="宋体"/>
          <w:bCs/>
          <w:color w:val="000000" w:themeColor="text1"/>
          <w:sz w:val="28"/>
          <w:szCs w:val="28"/>
          <w:lang w:eastAsia="zh-CN"/>
          <w14:textFill>
            <w14:solidFill>
              <w14:schemeClr w14:val="tx1"/>
            </w14:solidFill>
          </w14:textFill>
        </w:rPr>
        <w:t>3.3.1甲方委托受托方按照3.2条对标的资产进行管理和处置，并最终实现现金回收。部分标的资产通过债转股或以物抵债等非现金方式回收的，视为未处置完毕，受托方应继续推进标的资产处置，直至现金回收。</w:t>
      </w:r>
    </w:p>
    <w:p>
      <w:pPr>
        <w:pStyle w:val="5"/>
        <w:ind w:firstLine="560" w:firstLineChars="200"/>
        <w:rPr>
          <w:rFonts w:hint="eastAsia" w:ascii="宋体" w:hAnsi="宋体" w:eastAsia="宋体"/>
          <w:bCs/>
          <w:color w:val="000000" w:themeColor="text1"/>
          <w:kern w:val="2"/>
          <w:sz w:val="28"/>
          <w:szCs w:val="28"/>
          <w:lang w:eastAsia="zh-CN"/>
          <w14:textFill>
            <w14:solidFill>
              <w14:schemeClr w14:val="tx1"/>
            </w14:solidFill>
          </w14:textFill>
        </w:rPr>
      </w:pPr>
      <w:r>
        <w:rPr>
          <w:rFonts w:hint="eastAsia" w:ascii="宋体" w:hAnsi="宋体" w:eastAsia="宋体"/>
          <w:bCs/>
          <w:color w:val="000000" w:themeColor="text1"/>
          <w:kern w:val="2"/>
          <w:sz w:val="28"/>
          <w:szCs w:val="28"/>
          <w:lang w:eastAsia="zh-CN"/>
          <w14:textFill>
            <w14:solidFill>
              <w14:schemeClr w14:val="tx1"/>
            </w14:solidFill>
          </w14:textFill>
        </w:rPr>
        <w:t>3.3.2委托处置期间，委托方与受托方针对资产包内部分资产共同设定单户资产受托处置回现目标，受托方在预计处置回现不低于上述回现目标的情况下，可自行决策并实施处置；</w:t>
      </w:r>
    </w:p>
    <w:p>
      <w:pPr>
        <w:pStyle w:val="5"/>
        <w:ind w:firstLine="560" w:firstLineChars="200"/>
        <w:rPr>
          <w:rFonts w:hint="eastAsia" w:ascii="宋体" w:hAnsi="宋体" w:eastAsia="宋体"/>
          <w:bCs/>
          <w:color w:val="000000" w:themeColor="text1"/>
          <w:kern w:val="2"/>
          <w:sz w:val="28"/>
          <w:szCs w:val="28"/>
          <w:lang w:val="en-US" w:eastAsia="zh-CN"/>
          <w14:textFill>
            <w14:solidFill>
              <w14:schemeClr w14:val="tx1"/>
            </w14:solidFill>
          </w14:textFill>
        </w:rPr>
      </w:pPr>
      <w:r>
        <w:rPr>
          <w:rFonts w:hint="eastAsia" w:ascii="宋体" w:hAnsi="宋体" w:eastAsia="宋体"/>
          <w:bCs/>
          <w:color w:val="000000" w:themeColor="text1"/>
          <w:kern w:val="2"/>
          <w:sz w:val="28"/>
          <w:szCs w:val="28"/>
          <w:lang w:val="en-US" w:eastAsia="zh-CN"/>
          <w14:textFill>
            <w14:solidFill>
              <w14:schemeClr w14:val="tx1"/>
            </w14:solidFill>
          </w14:textFill>
        </w:rPr>
        <w:t>除以上共同设定单户</w:t>
      </w:r>
      <w:r>
        <w:rPr>
          <w:rFonts w:hint="eastAsia" w:ascii="宋体" w:hAnsi="宋体" w:eastAsia="宋体"/>
          <w:bCs/>
          <w:color w:val="000000" w:themeColor="text1"/>
          <w:kern w:val="2"/>
          <w:sz w:val="28"/>
          <w:szCs w:val="28"/>
          <w:lang w:eastAsia="zh-CN"/>
          <w14:textFill>
            <w14:solidFill>
              <w14:schemeClr w14:val="tx1"/>
            </w14:solidFill>
          </w14:textFill>
        </w:rPr>
        <w:t>受托处置回现目标</w:t>
      </w:r>
      <w:r>
        <w:rPr>
          <w:rFonts w:hint="eastAsia" w:ascii="宋体" w:hAnsi="宋体" w:eastAsia="宋体"/>
          <w:bCs/>
          <w:color w:val="000000" w:themeColor="text1"/>
          <w:kern w:val="2"/>
          <w:sz w:val="28"/>
          <w:szCs w:val="28"/>
          <w:lang w:val="en-US" w:eastAsia="zh-CN"/>
          <w14:textFill>
            <w14:solidFill>
              <w14:schemeClr w14:val="tx1"/>
            </w14:solidFill>
          </w14:textFill>
        </w:rPr>
        <w:t>的资产</w:t>
      </w:r>
      <w:r>
        <w:rPr>
          <w:rFonts w:hint="eastAsia" w:ascii="宋体" w:hAnsi="宋体" w:eastAsia="宋体"/>
          <w:bCs/>
          <w:color w:val="000000" w:themeColor="text1"/>
          <w:kern w:val="2"/>
          <w:sz w:val="28"/>
          <w:szCs w:val="28"/>
          <w:lang w:val="en-US" w:eastAsia="zh-CN"/>
          <w14:textFill>
            <w14:solidFill>
              <w14:schemeClr w14:val="tx1"/>
            </w14:solidFill>
          </w14:textFill>
        </w:rPr>
        <w:t>外，</w:t>
      </w:r>
      <w:r>
        <w:rPr>
          <w:rFonts w:hint="eastAsia" w:ascii="宋体" w:hAnsi="宋体" w:eastAsia="宋体"/>
          <w:bCs/>
          <w:color w:val="000000" w:themeColor="text1"/>
          <w:kern w:val="2"/>
          <w:sz w:val="28"/>
          <w:szCs w:val="28"/>
          <w:lang w:eastAsia="zh-CN"/>
          <w14:textFill>
            <w14:solidFill>
              <w14:schemeClr w14:val="tx1"/>
            </w14:solidFill>
          </w14:textFill>
        </w:rPr>
        <w:t>受托方对标的资产的管理和处置，需按照受托方内部审批流程操作，并在受托方内部审批流程完成后</w:t>
      </w:r>
      <w:r>
        <w:rPr>
          <w:rFonts w:hint="eastAsia" w:ascii="宋体" w:hAnsi="宋体" w:eastAsia="宋体"/>
          <w:bCs/>
          <w:color w:val="000000" w:themeColor="text1"/>
          <w:kern w:val="2"/>
          <w:sz w:val="28"/>
          <w:szCs w:val="28"/>
          <w:lang w:val="en-US" w:eastAsia="zh-CN"/>
          <w14:textFill>
            <w14:solidFill>
              <w14:schemeClr w14:val="tx1"/>
            </w14:solidFill>
          </w14:textFill>
        </w:rPr>
        <w:t>*</w:t>
      </w:r>
      <w:r>
        <w:rPr>
          <w:rFonts w:ascii="宋体" w:hAnsi="宋体" w:eastAsia="宋体"/>
          <w:bCs/>
          <w:color w:val="000000" w:themeColor="text1"/>
          <w:kern w:val="2"/>
          <w:sz w:val="28"/>
          <w:szCs w:val="28"/>
          <w:lang w:eastAsia="zh-CN"/>
          <w14:textFill>
            <w14:solidFill>
              <w14:schemeClr w14:val="tx1"/>
            </w14:solidFill>
          </w14:textFill>
        </w:rPr>
        <w:t>个工作日内，将</w:t>
      </w:r>
      <w:r>
        <w:rPr>
          <w:rFonts w:hint="eastAsia" w:ascii="宋体" w:hAnsi="宋体" w:eastAsia="宋体"/>
          <w:bCs/>
          <w:color w:val="000000" w:themeColor="text1"/>
          <w:kern w:val="2"/>
          <w:sz w:val="28"/>
          <w:szCs w:val="28"/>
          <w:lang w:eastAsia="zh-CN"/>
          <w14:textFill>
            <w14:solidFill>
              <w14:schemeClr w14:val="tx1"/>
            </w14:solidFill>
          </w14:textFill>
        </w:rPr>
        <w:t>方案</w:t>
      </w:r>
      <w:r>
        <w:rPr>
          <w:rFonts w:ascii="宋体" w:hAnsi="宋体" w:eastAsia="宋体"/>
          <w:bCs/>
          <w:color w:val="000000" w:themeColor="text1"/>
          <w:kern w:val="2"/>
          <w:sz w:val="28"/>
          <w:szCs w:val="28"/>
          <w:lang w:eastAsia="zh-CN"/>
          <w14:textFill>
            <w14:solidFill>
              <w14:schemeClr w14:val="tx1"/>
            </w14:solidFill>
          </w14:textFill>
        </w:rPr>
        <w:t>概要及审批情况</w:t>
      </w:r>
      <w:r>
        <w:rPr>
          <w:rFonts w:hint="eastAsia" w:ascii="宋体" w:hAnsi="宋体" w:eastAsia="宋体"/>
          <w:bCs/>
          <w:color w:val="000000" w:themeColor="text1"/>
          <w:kern w:val="2"/>
          <w:sz w:val="28"/>
          <w:szCs w:val="28"/>
          <w:lang w:val="en-US" w:eastAsia="zh-CN"/>
          <w14:textFill>
            <w14:solidFill>
              <w14:schemeClr w14:val="tx1"/>
            </w14:solidFill>
          </w14:textFill>
        </w:rPr>
        <w:t>报送至</w:t>
      </w:r>
      <w:r>
        <w:rPr>
          <w:rFonts w:ascii="宋体" w:hAnsi="宋体" w:eastAsia="宋体"/>
          <w:bCs/>
          <w:color w:val="000000" w:themeColor="text1"/>
          <w:kern w:val="2"/>
          <w:sz w:val="28"/>
          <w:szCs w:val="28"/>
          <w:lang w:eastAsia="zh-CN"/>
          <w14:textFill>
            <w14:solidFill>
              <w14:schemeClr w14:val="tx1"/>
            </w14:solidFill>
          </w14:textFill>
        </w:rPr>
        <w:t>甲方</w:t>
      </w:r>
      <w:r>
        <w:rPr>
          <w:rFonts w:hint="eastAsia" w:ascii="宋体" w:hAnsi="宋体" w:eastAsia="宋体"/>
          <w:bCs/>
          <w:color w:val="000000" w:themeColor="text1"/>
          <w:kern w:val="2"/>
          <w:sz w:val="28"/>
          <w:szCs w:val="28"/>
          <w:lang w:eastAsia="zh-CN"/>
          <w14:textFill>
            <w14:solidFill>
              <w14:schemeClr w14:val="tx1"/>
            </w14:solidFill>
          </w14:textFill>
        </w:rPr>
        <w:t>，</w:t>
      </w:r>
      <w:r>
        <w:rPr>
          <w:rFonts w:hint="eastAsia" w:ascii="宋体" w:hAnsi="宋体" w:eastAsia="宋体"/>
          <w:bCs/>
          <w:color w:val="000000" w:themeColor="text1"/>
          <w:kern w:val="2"/>
          <w:sz w:val="28"/>
          <w:szCs w:val="28"/>
          <w:lang w:val="en-US" w:eastAsia="zh-CN"/>
          <w14:textFill>
            <w14:solidFill>
              <w14:schemeClr w14:val="tx1"/>
            </w14:solidFill>
          </w14:textFill>
        </w:rPr>
        <w:t>甲方审批通过后*</w:t>
      </w:r>
      <w:r>
        <w:rPr>
          <w:rFonts w:ascii="宋体" w:hAnsi="宋体" w:eastAsia="宋体"/>
          <w:bCs/>
          <w:color w:val="000000" w:themeColor="text1"/>
          <w:kern w:val="2"/>
          <w:sz w:val="28"/>
          <w:szCs w:val="28"/>
          <w:lang w:eastAsia="zh-CN"/>
          <w14:textFill>
            <w14:solidFill>
              <w14:schemeClr w14:val="tx1"/>
            </w14:solidFill>
          </w14:textFill>
        </w:rPr>
        <w:t>个工作日内</w:t>
      </w:r>
      <w:r>
        <w:rPr>
          <w:rFonts w:hint="eastAsia" w:ascii="宋体" w:hAnsi="宋体" w:eastAsia="宋体"/>
          <w:bCs/>
          <w:color w:val="000000" w:themeColor="text1"/>
          <w:kern w:val="2"/>
          <w:sz w:val="28"/>
          <w:szCs w:val="28"/>
          <w:lang w:val="en-US" w:eastAsia="zh-CN"/>
          <w14:textFill>
            <w14:solidFill>
              <w14:schemeClr w14:val="tx1"/>
            </w14:solidFill>
          </w14:textFill>
        </w:rPr>
        <w:t>书面告知委托方。</w:t>
      </w:r>
    </w:p>
    <w:p>
      <w:pPr>
        <w:pStyle w:val="5"/>
        <w:ind w:firstLine="560" w:firstLineChars="200"/>
        <w:rPr>
          <w:rFonts w:ascii="宋体" w:hAnsi="宋体" w:eastAsia="宋体"/>
          <w:bCs/>
          <w:color w:val="000000" w:themeColor="text1"/>
          <w:sz w:val="28"/>
          <w:szCs w:val="28"/>
          <w:lang w:eastAsia="zh-CN"/>
          <w14:textFill>
            <w14:solidFill>
              <w14:schemeClr w14:val="tx1"/>
            </w14:solidFill>
          </w14:textFill>
        </w:rPr>
      </w:pPr>
      <w:r>
        <w:rPr>
          <w:rFonts w:ascii="宋体" w:hAnsi="宋体" w:eastAsia="宋体"/>
          <w:bCs/>
          <w:color w:val="000000" w:themeColor="text1"/>
          <w:kern w:val="2"/>
          <w:sz w:val="28"/>
          <w:szCs w:val="28"/>
          <w:lang w:eastAsia="zh-CN"/>
          <w14:textFill>
            <w14:solidFill>
              <w14:schemeClr w14:val="tx1"/>
            </w14:solidFill>
          </w14:textFill>
        </w:rPr>
        <w:t>（</w:t>
      </w:r>
      <w:r>
        <w:rPr>
          <w:rFonts w:hint="eastAsia" w:ascii="宋体" w:hAnsi="宋体" w:eastAsia="宋体"/>
          <w:bCs/>
          <w:color w:val="000000" w:themeColor="text1"/>
          <w:kern w:val="2"/>
          <w:sz w:val="28"/>
          <w:szCs w:val="28"/>
          <w:lang w:eastAsia="zh-CN"/>
          <w14:textFill>
            <w14:solidFill>
              <w14:schemeClr w14:val="tx1"/>
            </w14:solidFill>
          </w14:textFill>
        </w:rPr>
        <w:t>受托方以</w:t>
      </w:r>
      <w:r>
        <w:rPr>
          <w:rFonts w:ascii="宋体" w:hAnsi="宋体" w:eastAsia="宋体"/>
          <w:bCs/>
          <w:color w:val="000000" w:themeColor="text1"/>
          <w:kern w:val="2"/>
          <w:sz w:val="28"/>
          <w:szCs w:val="28"/>
          <w:lang w:eastAsia="zh-CN"/>
          <w14:textFill>
            <w14:solidFill>
              <w14:schemeClr w14:val="tx1"/>
            </w14:solidFill>
          </w14:textFill>
        </w:rPr>
        <w:t>诉讼</w:t>
      </w:r>
      <w:r>
        <w:rPr>
          <w:rFonts w:hint="eastAsia" w:ascii="宋体" w:hAnsi="宋体" w:eastAsia="宋体"/>
          <w:bCs/>
          <w:color w:val="000000" w:themeColor="text1"/>
          <w:kern w:val="2"/>
          <w:sz w:val="28"/>
          <w:szCs w:val="28"/>
          <w:lang w:eastAsia="zh-CN"/>
          <w14:textFill>
            <w14:solidFill>
              <w14:schemeClr w14:val="tx1"/>
            </w14:solidFill>
          </w14:textFill>
        </w:rPr>
        <w:t>执行</w:t>
      </w:r>
      <w:r>
        <w:rPr>
          <w:rFonts w:ascii="宋体" w:hAnsi="宋体" w:eastAsia="宋体"/>
          <w:bCs/>
          <w:color w:val="000000" w:themeColor="text1"/>
          <w:kern w:val="2"/>
          <w:sz w:val="28"/>
          <w:szCs w:val="28"/>
          <w:lang w:eastAsia="zh-CN"/>
          <w14:textFill>
            <w14:solidFill>
              <w14:schemeClr w14:val="tx1"/>
            </w14:solidFill>
          </w14:textFill>
        </w:rPr>
        <w:t>清收</w:t>
      </w:r>
      <w:r>
        <w:rPr>
          <w:rFonts w:hint="eastAsia" w:ascii="宋体" w:hAnsi="宋体" w:eastAsia="宋体"/>
          <w:bCs/>
          <w:color w:val="000000" w:themeColor="text1"/>
          <w:kern w:val="2"/>
          <w:sz w:val="28"/>
          <w:szCs w:val="28"/>
          <w:lang w:eastAsia="zh-CN"/>
          <w14:textFill>
            <w14:solidFill>
              <w14:schemeClr w14:val="tx1"/>
            </w14:solidFill>
          </w14:textFill>
        </w:rPr>
        <w:t>、破产、仲裁等司法处置</w:t>
      </w:r>
      <w:r>
        <w:rPr>
          <w:rFonts w:ascii="宋体" w:hAnsi="宋体" w:eastAsia="宋体"/>
          <w:bCs/>
          <w:color w:val="000000" w:themeColor="text1"/>
          <w:kern w:val="2"/>
          <w:sz w:val="28"/>
          <w:szCs w:val="28"/>
          <w:lang w:eastAsia="zh-CN"/>
          <w14:textFill>
            <w14:solidFill>
              <w14:schemeClr w14:val="tx1"/>
            </w14:solidFill>
          </w14:textFill>
        </w:rPr>
        <w:t>方式</w:t>
      </w:r>
      <w:r>
        <w:rPr>
          <w:rFonts w:hint="eastAsia" w:ascii="宋体" w:hAnsi="宋体" w:eastAsia="宋体"/>
          <w:bCs/>
          <w:color w:val="000000" w:themeColor="text1"/>
          <w:kern w:val="2"/>
          <w:sz w:val="28"/>
          <w:szCs w:val="28"/>
          <w:lang w:eastAsia="zh-CN"/>
          <w14:textFill>
            <w14:solidFill>
              <w14:schemeClr w14:val="tx1"/>
            </w14:solidFill>
          </w14:textFill>
        </w:rPr>
        <w:t>对标的资产进行管理和处置，不适用本条款，受托方无需向甲方报</w:t>
      </w:r>
      <w:r>
        <w:rPr>
          <w:rFonts w:hint="eastAsia" w:ascii="宋体" w:hAnsi="宋体" w:eastAsia="宋体"/>
          <w:bCs/>
          <w:color w:val="000000" w:themeColor="text1"/>
          <w:kern w:val="2"/>
          <w:sz w:val="28"/>
          <w:szCs w:val="28"/>
          <w:lang w:val="en-US" w:eastAsia="zh-CN"/>
          <w14:textFill>
            <w14:solidFill>
              <w14:schemeClr w14:val="tx1"/>
            </w14:solidFill>
          </w14:textFill>
        </w:rPr>
        <w:t>送</w:t>
      </w:r>
      <w:r>
        <w:rPr>
          <w:rFonts w:hint="eastAsia" w:ascii="宋体" w:hAnsi="宋体" w:eastAsia="宋体"/>
          <w:bCs/>
          <w:color w:val="000000" w:themeColor="text1"/>
          <w:kern w:val="2"/>
          <w:sz w:val="28"/>
          <w:szCs w:val="28"/>
          <w:lang w:eastAsia="zh-CN"/>
          <w14:textFill>
            <w14:solidFill>
              <w14:schemeClr w14:val="tx1"/>
            </w14:solidFill>
          </w14:textFill>
        </w:rPr>
        <w:t>）</w:t>
      </w:r>
      <w:r>
        <w:rPr>
          <w:rFonts w:ascii="宋体" w:hAnsi="宋体" w:eastAsia="宋体"/>
          <w:bCs/>
          <w:color w:val="000000" w:themeColor="text1"/>
          <w:kern w:val="2"/>
          <w:sz w:val="28"/>
          <w:szCs w:val="28"/>
          <w:lang w:eastAsia="zh-CN"/>
          <w14:textFill>
            <w14:solidFill>
              <w14:schemeClr w14:val="tx1"/>
            </w14:solidFill>
          </w14:textFill>
        </w:rPr>
        <w:t>。</w:t>
      </w:r>
    </w:p>
    <w:p>
      <w:pPr>
        <w:pStyle w:val="5"/>
        <w:ind w:firstLine="560" w:firstLineChars="200"/>
        <w:rPr>
          <w:rFonts w:ascii="宋体" w:hAnsi="宋体" w:eastAsia="宋体"/>
          <w:bCs/>
          <w:color w:val="000000" w:themeColor="text1"/>
          <w:sz w:val="28"/>
          <w:szCs w:val="28"/>
          <w:lang w:eastAsia="zh-CN"/>
          <w14:textFill>
            <w14:solidFill>
              <w14:schemeClr w14:val="tx1"/>
            </w14:solidFill>
          </w14:textFill>
        </w:rPr>
      </w:pPr>
      <w:r>
        <w:rPr>
          <w:rFonts w:hint="eastAsia" w:ascii="宋体" w:hAnsi="宋体" w:eastAsia="宋体"/>
          <w:bCs/>
          <w:color w:val="000000" w:themeColor="text1"/>
          <w:sz w:val="28"/>
          <w:szCs w:val="28"/>
          <w:lang w:eastAsia="zh-CN"/>
          <w14:textFill>
            <w14:solidFill>
              <w14:schemeClr w14:val="tx1"/>
            </w14:solidFill>
          </w14:textFill>
        </w:rPr>
        <w:t>3.3.3委托处置期间，因管理、处置标的资产发生处置费用按如下方式处理：</w:t>
      </w:r>
    </w:p>
    <w:p>
      <w:pPr>
        <w:pStyle w:val="5"/>
        <w:ind w:firstLine="560" w:firstLineChars="200"/>
        <w:rPr>
          <w:rFonts w:hint="default" w:ascii="宋体" w:hAnsi="宋体" w:eastAsia="宋体"/>
          <w:bCs/>
          <w:color w:val="000000" w:themeColor="text1"/>
          <w:sz w:val="28"/>
          <w:szCs w:val="28"/>
          <w:highlight w:val="none"/>
          <w:lang w:val="en-US" w:eastAsia="zh-CN"/>
          <w14:textFill>
            <w14:solidFill>
              <w14:schemeClr w14:val="tx1"/>
            </w14:solidFill>
          </w14:textFill>
        </w:rPr>
      </w:pPr>
      <w:r>
        <w:rPr>
          <w:rFonts w:hint="eastAsia" w:ascii="宋体" w:hAnsi="宋体" w:eastAsia="宋体"/>
          <w:bCs/>
          <w:color w:val="000000" w:themeColor="text1"/>
          <w:sz w:val="28"/>
          <w:szCs w:val="28"/>
          <w:highlight w:val="none"/>
          <w:lang w:eastAsia="zh-CN"/>
          <w14:textFill>
            <w14:solidFill>
              <w14:schemeClr w14:val="tx1"/>
            </w14:solidFill>
          </w14:textFill>
        </w:rPr>
        <w:t>①</w:t>
      </w:r>
      <w:r>
        <w:rPr>
          <w:rFonts w:hint="eastAsia" w:ascii="宋体" w:hAnsi="宋体" w:eastAsia="宋体"/>
          <w:bCs/>
          <w:color w:val="000000" w:themeColor="text1"/>
          <w:sz w:val="28"/>
          <w:szCs w:val="28"/>
          <w:highlight w:val="none"/>
          <w:lang w:val="en-US" w:eastAsia="zh-CN"/>
          <w14:textFill>
            <w14:solidFill>
              <w14:schemeClr w14:val="tx1"/>
            </w14:solidFill>
          </w14:textFill>
        </w:rPr>
        <w:t>在委托期间新选聘律师事务所代理案件的，需要经甲方事先书面审批同意后按照受托方相关制度规范以及流程实施。</w:t>
      </w:r>
    </w:p>
    <w:p>
      <w:pPr>
        <w:pStyle w:val="5"/>
        <w:ind w:firstLine="560" w:firstLineChars="200"/>
        <w:rPr>
          <w:rFonts w:ascii="宋体" w:hAnsi="宋体" w:eastAsia="宋体"/>
          <w:bCs/>
          <w:color w:val="000000" w:themeColor="text1"/>
          <w:sz w:val="28"/>
          <w:szCs w:val="28"/>
          <w:highlight w:val="none"/>
          <w:lang w:eastAsia="zh-CN"/>
          <w14:textFill>
            <w14:solidFill>
              <w14:schemeClr w14:val="tx1"/>
            </w14:solidFill>
          </w14:textFill>
        </w:rPr>
      </w:pPr>
      <w:r>
        <w:rPr>
          <w:rFonts w:hint="eastAsia" w:ascii="宋体" w:hAnsi="宋体" w:eastAsia="宋体"/>
          <w:bCs/>
          <w:color w:val="000000" w:themeColor="text1"/>
          <w:sz w:val="28"/>
          <w:szCs w:val="28"/>
          <w:highlight w:val="none"/>
          <w:lang w:eastAsia="zh-CN"/>
          <w14:textFill>
            <w14:solidFill>
              <w14:schemeClr w14:val="tx1"/>
            </w14:solidFill>
          </w14:textFill>
        </w:rPr>
        <w:t>②除第3.3.3条第</w:t>
      </w:r>
      <w:r>
        <w:rPr>
          <w:rFonts w:hint="eastAsia" w:ascii="宋体" w:hAnsi="宋体" w:eastAsia="宋体"/>
          <w:bCs/>
          <w:color w:val="000000" w:themeColor="text1"/>
          <w:sz w:val="28"/>
          <w:szCs w:val="28"/>
          <w:highlight w:val="none"/>
          <w:lang w:val="en-US" w:eastAsia="zh-CN"/>
          <w14:textFill>
            <w14:solidFill>
              <w14:schemeClr w14:val="tx1"/>
            </w14:solidFill>
          </w14:textFill>
        </w:rPr>
        <w:t>一</w:t>
      </w:r>
      <w:r>
        <w:rPr>
          <w:rFonts w:hint="eastAsia" w:ascii="宋体" w:hAnsi="宋体" w:eastAsia="宋体"/>
          <w:bCs/>
          <w:color w:val="000000" w:themeColor="text1"/>
          <w:sz w:val="28"/>
          <w:szCs w:val="28"/>
          <w:highlight w:val="none"/>
          <w:lang w:eastAsia="zh-CN"/>
          <w14:textFill>
            <w14:solidFill>
              <w14:schemeClr w14:val="tx1"/>
            </w14:solidFill>
          </w14:textFill>
        </w:rPr>
        <w:t>款约定范围以外的费用支出，受托方按受托方内部费用审批流程支付，无需征得甲方同意。</w:t>
      </w:r>
    </w:p>
    <w:p>
      <w:pPr>
        <w:pStyle w:val="5"/>
        <w:ind w:firstLine="560" w:firstLineChars="200"/>
        <w:rPr>
          <w:rFonts w:ascii="宋体" w:hAnsi="宋体" w:eastAsia="宋体"/>
          <w:bCs/>
          <w:color w:val="000000" w:themeColor="text1"/>
          <w:sz w:val="28"/>
          <w:szCs w:val="28"/>
          <w:lang w:eastAsia="zh-CN"/>
          <w14:textFill>
            <w14:solidFill>
              <w14:schemeClr w14:val="tx1"/>
            </w14:solidFill>
          </w14:textFill>
        </w:rPr>
      </w:pPr>
      <w:r>
        <w:rPr>
          <w:rFonts w:hint="eastAsia" w:ascii="宋体" w:hAnsi="宋体" w:eastAsia="宋体"/>
          <w:bCs/>
          <w:color w:val="000000" w:themeColor="text1"/>
          <w:sz w:val="28"/>
          <w:szCs w:val="28"/>
          <w:lang w:eastAsia="zh-CN"/>
          <w14:textFill>
            <w14:solidFill>
              <w14:schemeClr w14:val="tx1"/>
            </w14:solidFill>
          </w14:textFill>
        </w:rPr>
        <w:t>3.3.4 委托期间内，受托方委托第三方的委托期限如超过本协议的委托期限（即自本协议生效之日起36个月内，若期满双方协商一致同意续期的，则相应顺延） ，需征得甲方书面同意。</w:t>
      </w:r>
      <w:r>
        <w:rPr>
          <w:rFonts w:ascii="宋体" w:hAnsi="宋体" w:eastAsia="宋体"/>
          <w:bCs/>
          <w:color w:val="000000" w:themeColor="text1"/>
          <w:sz w:val="28"/>
          <w:szCs w:val="28"/>
          <w:lang w:eastAsia="zh-CN"/>
          <w14:textFill>
            <w14:solidFill>
              <w14:schemeClr w14:val="tx1"/>
            </w14:solidFill>
          </w14:textFill>
        </w:rPr>
        <w:t xml:space="preserve"> </w:t>
      </w:r>
    </w:p>
    <w:p>
      <w:pPr>
        <w:adjustRightInd w:val="0"/>
        <w:snapToGrid w:val="0"/>
        <w:spacing w:line="520" w:lineRule="exact"/>
        <w:ind w:firstLine="560" w:firstLineChars="200"/>
        <w:rPr>
          <w:rFonts w:hint="default" w:ascii="宋体" w:hAnsi="宋体"/>
          <w:bCs/>
          <w:color w:val="000000" w:themeColor="text1"/>
          <w:sz w:val="28"/>
          <w:szCs w:val="28"/>
          <w:u w:val="single"/>
          <w:lang w:val="en-US" w:eastAsia="zh-CN"/>
          <w14:textFill>
            <w14:solidFill>
              <w14:schemeClr w14:val="tx1"/>
            </w14:solidFill>
          </w14:textFill>
        </w:rPr>
      </w:pPr>
      <w:r>
        <w:rPr>
          <w:rFonts w:ascii="宋体" w:hAnsi="宋体"/>
          <w:bCs/>
          <w:color w:val="000000" w:themeColor="text1"/>
          <w:sz w:val="28"/>
          <w:szCs w:val="28"/>
          <w14:textFill>
            <w14:solidFill>
              <w14:schemeClr w14:val="tx1"/>
            </w14:solidFill>
          </w14:textFill>
        </w:rPr>
        <w:t>3.4</w:t>
      </w:r>
      <w:r>
        <w:rPr>
          <w:rFonts w:hint="eastAsia" w:ascii="宋体" w:hAnsi="宋体"/>
          <w:bCs/>
          <w:color w:val="000000" w:themeColor="text1"/>
          <w:sz w:val="28"/>
          <w:szCs w:val="28"/>
          <w:lang w:val="en-US" w:eastAsia="zh-CN"/>
          <w14:textFill>
            <w14:solidFill>
              <w14:schemeClr w14:val="tx1"/>
            </w14:solidFill>
          </w14:textFill>
        </w:rPr>
        <w:t>委托清收目标：</w:t>
      </w:r>
      <w:r>
        <w:rPr>
          <w:rFonts w:hint="eastAsia" w:ascii="宋体" w:hAnsi="宋体"/>
          <w:bCs/>
          <w:color w:val="000000" w:themeColor="text1"/>
          <w:sz w:val="28"/>
          <w:szCs w:val="28"/>
          <w:u w:val="single"/>
          <w:lang w:val="en-US" w:eastAsia="zh-CN"/>
          <w14:textFill>
            <w14:solidFill>
              <w14:schemeClr w14:val="tx1"/>
            </w14:solidFill>
          </w14:textFill>
        </w:rPr>
        <w:t xml:space="preserve">        。</w:t>
      </w:r>
    </w:p>
    <w:p>
      <w:pPr>
        <w:adjustRightInd w:val="0"/>
        <w:snapToGrid w:val="0"/>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该计划为预估值，并不构成受托方对处置回收的承诺或担保，后续资产清收处置达不到预期目标的风险及损失，均由委托人承担（以上比例以最终协商为准），该计划为预估值，并不构成受托方对处置回收的承诺或担保，后续资产清收处置达不到预期目标的风险及损失，均由甲方承担。</w:t>
      </w:r>
    </w:p>
    <w:p>
      <w:pPr>
        <w:adjustRightInd w:val="0"/>
        <w:snapToGrid w:val="0"/>
        <w:spacing w:line="520" w:lineRule="exact"/>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具体执行中，经双方协商，可根据清收实际情况和外部环境变化对上述预估清收目标进行调整。</w:t>
      </w:r>
    </w:p>
    <w:p>
      <w:pPr>
        <w:adjustRightInd w:val="0"/>
        <w:snapToGrid w:val="0"/>
        <w:spacing w:line="520" w:lineRule="exact"/>
        <w:ind w:firstLine="560" w:firstLineChars="200"/>
        <w:rPr>
          <w:rFonts w:hint="eastAsia" w:ascii="宋体" w:hAnsi="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3.5 分配顺序</w:t>
      </w:r>
    </w:p>
    <w:p>
      <w:pPr>
        <w:adjustRightInd w:val="0"/>
        <w:snapToGrid w:val="0"/>
        <w:spacing w:line="520" w:lineRule="exact"/>
        <w:ind w:firstLine="560" w:firstLineChars="200"/>
        <w:rPr>
          <w:rFonts w:hint="eastAsia" w:ascii="宋体" w:hAnsi="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每月初第*个工作日前对账以及结算上月回现资金（即结算月），并按照以下顺位进行分配：委托处置费用</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w:t>
      </w:r>
      <w:r>
        <w:rPr>
          <w:rFonts w:hint="eastAsia" w:ascii="宋体" w:hAnsi="宋体"/>
          <w:bCs/>
          <w:color w:val="000000" w:themeColor="text1"/>
          <w:sz w:val="28"/>
          <w:szCs w:val="28"/>
          <w:lang w:val="en-US" w:eastAsia="zh-CN"/>
          <w14:textFill>
            <w14:solidFill>
              <w14:schemeClr w14:val="tx1"/>
            </w14:solidFill>
          </w14:textFill>
        </w:rPr>
        <w:t>委托方目标收益</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w:t>
      </w:r>
      <w:r>
        <w:rPr>
          <w:rFonts w:hint="eastAsia" w:ascii="宋体" w:hAnsi="宋体"/>
          <w:bCs/>
          <w:color w:val="000000" w:themeColor="text1"/>
          <w:sz w:val="28"/>
          <w:szCs w:val="28"/>
          <w:lang w:val="en-US" w:eastAsia="zh-CN"/>
          <w14:textFill>
            <w14:solidFill>
              <w14:schemeClr w14:val="tx1"/>
            </w14:solidFill>
          </w14:textFill>
        </w:rPr>
        <w:t>委托方收购成本</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w:t>
      </w:r>
      <w:bookmarkStart w:id="0" w:name="_GoBack"/>
      <w:bookmarkEnd w:id="0"/>
      <w:r>
        <w:rPr>
          <w:rFonts w:hint="eastAsia" w:ascii="宋体" w:hAnsi="宋体"/>
          <w:bCs/>
          <w:color w:val="000000" w:themeColor="text1"/>
          <w:sz w:val="28"/>
          <w:szCs w:val="28"/>
          <w:lang w:val="en-US" w:eastAsia="zh-CN"/>
          <w14:textFill>
            <w14:solidFill>
              <w14:schemeClr w14:val="tx1"/>
            </w14:solidFill>
          </w14:textFill>
        </w:rPr>
        <w:t>超额收益分配。</w:t>
      </w:r>
    </w:p>
    <w:p>
      <w:pPr>
        <w:adjustRightInd w:val="0"/>
        <w:snapToGrid w:val="0"/>
        <w:spacing w:line="520" w:lineRule="exact"/>
        <w:ind w:firstLine="560" w:firstLineChars="200"/>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w:t>
      </w:r>
      <w:r>
        <w:rPr>
          <w:rFonts w:hint="eastAsia" w:ascii="宋体" w:hAnsi="宋体"/>
          <w:bCs/>
          <w:color w:val="000000" w:themeColor="text1"/>
          <w:sz w:val="28"/>
          <w:szCs w:val="28"/>
          <w:lang w:val="en-US" w:eastAsia="zh-CN"/>
          <w14:textFill>
            <w14:solidFill>
              <w14:schemeClr w14:val="tx1"/>
            </w14:solidFill>
          </w14:textFill>
        </w:rPr>
        <w:t>6</w:t>
      </w:r>
      <w:r>
        <w:rPr>
          <w:rFonts w:hint="eastAsia"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highlight w:val="none"/>
          <w14:textFill>
            <w14:solidFill>
              <w14:schemeClr w14:val="tx1"/>
            </w14:solidFill>
          </w14:textFill>
        </w:rPr>
        <w:t>乙方</w:t>
      </w:r>
      <w:r>
        <w:rPr>
          <w:rFonts w:hint="eastAsia" w:ascii="宋体" w:hAnsi="宋体"/>
          <w:bCs/>
          <w:color w:val="000000" w:themeColor="text1"/>
          <w:sz w:val="28"/>
          <w:szCs w:val="28"/>
          <w:highlight w:val="none"/>
          <w:lang w:val="en-US" w:eastAsia="zh-CN"/>
          <w14:textFill>
            <w14:solidFill>
              <w14:schemeClr w14:val="tx1"/>
            </w14:solidFill>
          </w14:textFill>
        </w:rPr>
        <w:t>在</w:t>
      </w:r>
      <w:r>
        <w:rPr>
          <w:rFonts w:hint="eastAsia" w:ascii="宋体" w:hAnsi="宋体"/>
          <w:bCs/>
          <w:color w:val="000000" w:themeColor="text1"/>
          <w:sz w:val="28"/>
          <w:szCs w:val="28"/>
          <w:highlight w:val="none"/>
          <w14:textFill>
            <w14:solidFill>
              <w14:schemeClr w14:val="tx1"/>
            </w14:solidFill>
          </w14:textFill>
        </w:rPr>
        <w:t>资产</w:t>
      </w:r>
      <w:r>
        <w:rPr>
          <w:rFonts w:hint="eastAsia" w:ascii="宋体" w:hAnsi="宋体"/>
          <w:bCs/>
          <w:color w:val="000000" w:themeColor="text1"/>
          <w:sz w:val="28"/>
          <w:szCs w:val="28"/>
          <w:highlight w:val="none"/>
          <w:lang w:val="en-US" w:eastAsia="zh-CN"/>
          <w14:textFill>
            <w14:solidFill>
              <w14:schemeClr w14:val="tx1"/>
            </w14:solidFill>
          </w14:textFill>
        </w:rPr>
        <w:t>现金</w:t>
      </w:r>
      <w:r>
        <w:rPr>
          <w:rFonts w:hint="eastAsia" w:ascii="宋体" w:hAnsi="宋体"/>
          <w:bCs/>
          <w:color w:val="000000" w:themeColor="text1"/>
          <w:sz w:val="28"/>
          <w:szCs w:val="28"/>
          <w:highlight w:val="none"/>
          <w14:textFill>
            <w14:solidFill>
              <w14:schemeClr w14:val="tx1"/>
            </w14:solidFill>
          </w14:textFill>
        </w:rPr>
        <w:t>回收</w:t>
      </w:r>
      <w:r>
        <w:rPr>
          <w:rFonts w:hint="eastAsia" w:ascii="宋体" w:hAnsi="宋体"/>
          <w:bCs/>
          <w:color w:val="000000" w:themeColor="text1"/>
          <w:sz w:val="28"/>
          <w:szCs w:val="28"/>
          <w:highlight w:val="none"/>
          <w:lang w:val="en-US" w:eastAsia="zh-CN"/>
          <w14:textFill>
            <w14:solidFill>
              <w14:schemeClr w14:val="tx1"/>
            </w14:solidFill>
          </w14:textFill>
        </w:rPr>
        <w:t>后</w:t>
      </w:r>
      <w:r>
        <w:rPr>
          <w:rFonts w:hint="eastAsia" w:ascii="宋体" w:hAnsi="宋体"/>
          <w:bCs/>
          <w:color w:val="000000" w:themeColor="text1"/>
          <w:sz w:val="28"/>
          <w:szCs w:val="28"/>
          <w:highlight w:val="none"/>
          <w:lang w:eastAsia="zh-CN"/>
          <w14:textFill>
            <w14:solidFill>
              <w14:schemeClr w14:val="tx1"/>
            </w14:solidFill>
          </w14:textFill>
        </w:rPr>
        <w:t>，</w:t>
      </w:r>
      <w:r>
        <w:rPr>
          <w:rFonts w:hint="eastAsia" w:ascii="宋体" w:hAnsi="宋体"/>
          <w:bCs/>
          <w:color w:val="000000" w:themeColor="text1"/>
          <w:sz w:val="28"/>
          <w:szCs w:val="28"/>
          <w:highlight w:val="none"/>
          <w:lang w:val="en-US" w:eastAsia="zh-CN"/>
          <w14:textFill>
            <w14:solidFill>
              <w14:schemeClr w14:val="tx1"/>
            </w14:solidFill>
          </w14:textFill>
        </w:rPr>
        <w:t>对标的资产回收、</w:t>
      </w:r>
      <w:r>
        <w:rPr>
          <w:rFonts w:hint="eastAsia" w:ascii="宋体" w:hAnsi="宋体"/>
          <w:bCs/>
          <w:color w:val="000000" w:themeColor="text1"/>
          <w:sz w:val="28"/>
          <w:szCs w:val="28"/>
          <w:highlight w:val="none"/>
          <w14:textFill>
            <w14:solidFill>
              <w14:schemeClr w14:val="tx1"/>
            </w14:solidFill>
          </w14:textFill>
        </w:rPr>
        <w:t>扣减</w:t>
      </w:r>
      <w:r>
        <w:rPr>
          <w:rFonts w:hint="eastAsia" w:ascii="宋体" w:hAnsi="宋体"/>
          <w:bCs/>
          <w:color w:val="000000" w:themeColor="text1"/>
          <w:sz w:val="28"/>
          <w:szCs w:val="28"/>
          <w:highlight w:val="none"/>
          <w:lang w:eastAsia="zh-CN"/>
          <w14:textFill>
            <w14:solidFill>
              <w14:schemeClr w14:val="tx1"/>
            </w14:solidFill>
          </w14:textFill>
        </w:rPr>
        <w:t>的</w:t>
      </w:r>
      <w:r>
        <w:rPr>
          <w:rFonts w:hint="eastAsia" w:ascii="宋体" w:hAnsi="宋体"/>
          <w:bCs/>
          <w:color w:val="000000" w:themeColor="text1"/>
          <w:sz w:val="28"/>
          <w:szCs w:val="28"/>
          <w:highlight w:val="none"/>
          <w14:textFill>
            <w14:solidFill>
              <w14:schemeClr w14:val="tx1"/>
            </w14:solidFill>
          </w14:textFill>
        </w:rPr>
        <w:t>处置费用</w:t>
      </w:r>
      <w:r>
        <w:rPr>
          <w:rFonts w:hint="eastAsia" w:ascii="宋体" w:hAnsi="宋体"/>
          <w:bCs/>
          <w:color w:val="000000" w:themeColor="text1"/>
          <w:sz w:val="28"/>
          <w:szCs w:val="28"/>
          <w:highlight w:val="none"/>
          <w:lang w:eastAsia="zh-CN"/>
          <w14:textFill>
            <w14:solidFill>
              <w14:schemeClr w14:val="tx1"/>
            </w14:solidFill>
          </w14:textFill>
        </w:rPr>
        <w:t>、</w:t>
      </w:r>
      <w:r>
        <w:rPr>
          <w:rFonts w:hint="eastAsia" w:ascii="宋体" w:hAnsi="宋体"/>
          <w:bCs/>
          <w:color w:val="000000" w:themeColor="text1"/>
          <w:sz w:val="28"/>
          <w:szCs w:val="28"/>
          <w:highlight w:val="none"/>
          <w:lang w:val="en-US" w:eastAsia="zh-CN"/>
          <w14:textFill>
            <w14:solidFill>
              <w14:schemeClr w14:val="tx1"/>
            </w14:solidFill>
          </w14:textFill>
        </w:rPr>
        <w:t>处置回收分配计划等制作明细表格与</w:t>
      </w:r>
      <w:r>
        <w:rPr>
          <w:rFonts w:hint="eastAsia" w:ascii="宋体" w:hAnsi="宋体"/>
          <w:bCs/>
          <w:color w:val="000000" w:themeColor="text1"/>
          <w:sz w:val="28"/>
          <w:szCs w:val="28"/>
          <w:highlight w:val="none"/>
          <w14:textFill>
            <w14:solidFill>
              <w14:schemeClr w14:val="tx1"/>
            </w14:solidFill>
          </w14:textFill>
        </w:rPr>
        <w:t>甲方进行对账</w:t>
      </w:r>
      <w:r>
        <w:rPr>
          <w:rFonts w:hint="eastAsia" w:ascii="宋体" w:hAnsi="宋体"/>
          <w:bCs/>
          <w:color w:val="000000" w:themeColor="text1"/>
          <w:sz w:val="28"/>
          <w:szCs w:val="28"/>
          <w:highlight w:val="none"/>
          <w:lang w:eastAsia="zh-CN"/>
          <w14:textFill>
            <w14:solidFill>
              <w14:schemeClr w14:val="tx1"/>
            </w14:solidFill>
          </w14:textFill>
        </w:rPr>
        <w:t>，</w:t>
      </w:r>
      <w:r>
        <w:rPr>
          <w:rFonts w:hint="eastAsia" w:ascii="宋体" w:hAnsi="宋体"/>
          <w:bCs/>
          <w:color w:val="000000" w:themeColor="text1"/>
          <w:sz w:val="28"/>
          <w:szCs w:val="28"/>
          <w:highlight w:val="none"/>
          <w14:textFill>
            <w14:solidFill>
              <w14:schemeClr w14:val="tx1"/>
            </w14:solidFill>
          </w14:textFill>
        </w:rPr>
        <w:t>并在对账完成后</w:t>
      </w:r>
      <w:r>
        <w:rPr>
          <w:rFonts w:hint="eastAsia" w:ascii="宋体" w:hAnsi="宋体"/>
          <w:bCs/>
          <w:color w:val="000000" w:themeColor="text1"/>
          <w:sz w:val="28"/>
          <w:szCs w:val="28"/>
          <w:highlight w:val="none"/>
          <w:lang w:val="en-US" w:eastAsia="zh-CN"/>
          <w14:textFill>
            <w14:solidFill>
              <w14:schemeClr w14:val="tx1"/>
            </w14:solidFill>
          </w14:textFill>
        </w:rPr>
        <w:t>*</w:t>
      </w:r>
      <w:r>
        <w:rPr>
          <w:rFonts w:hint="eastAsia" w:ascii="宋体" w:hAnsi="宋体"/>
          <w:bCs/>
          <w:color w:val="000000" w:themeColor="text1"/>
          <w:sz w:val="28"/>
          <w:szCs w:val="28"/>
          <w:highlight w:val="none"/>
          <w14:textFill>
            <w14:solidFill>
              <w14:schemeClr w14:val="tx1"/>
            </w14:solidFill>
          </w14:textFill>
        </w:rPr>
        <w:t>工作日内（非工作日顺延），扣除资产处置费用、委托处置报酬（如有）后汇至甲方指定的账户，账户信息如下：</w:t>
      </w:r>
    </w:p>
    <w:p>
      <w:pPr>
        <w:adjustRightInd w:val="0"/>
        <w:snapToGrid w:val="0"/>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账户名：</w:t>
      </w:r>
    </w:p>
    <w:p>
      <w:pPr>
        <w:adjustRightInd w:val="0"/>
        <w:snapToGrid w:val="0"/>
        <w:spacing w:line="520" w:lineRule="exact"/>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账号：</w:t>
      </w:r>
    </w:p>
    <w:p>
      <w:pPr>
        <w:adjustRightInd w:val="0"/>
        <w:snapToGrid w:val="0"/>
        <w:spacing w:line="520" w:lineRule="exact"/>
        <w:ind w:firstLine="560" w:firstLineChars="200"/>
      </w:pPr>
      <w:r>
        <w:rPr>
          <w:rFonts w:hint="eastAsia" w:ascii="宋体" w:hAnsi="宋体"/>
          <w:bCs/>
          <w:color w:val="000000" w:themeColor="text1"/>
          <w:sz w:val="28"/>
          <w:szCs w:val="28"/>
          <w14:textFill>
            <w14:solidFill>
              <w14:schemeClr w14:val="tx1"/>
            </w14:solidFill>
          </w14:textFill>
        </w:rPr>
        <w:t>开户银行：</w:t>
      </w:r>
    </w:p>
    <w:p>
      <w:pPr>
        <w:numPr>
          <w:ilvl w:val="0"/>
          <w:numId w:val="3"/>
        </w:num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委托处置报酬</w:t>
      </w:r>
    </w:p>
    <w:p>
      <w:pPr>
        <w:pStyle w:val="5"/>
        <w:ind w:firstLine="560" w:firstLineChars="200"/>
        <w:rPr>
          <w:rFonts w:ascii="宋体" w:hAnsi="宋体" w:eastAsia="宋体"/>
          <w:bCs/>
          <w:color w:val="000000" w:themeColor="text1"/>
          <w:kern w:val="2"/>
          <w:sz w:val="28"/>
          <w:szCs w:val="28"/>
          <w:lang w:eastAsia="zh-CN"/>
          <w14:textFill>
            <w14:solidFill>
              <w14:schemeClr w14:val="tx1"/>
            </w14:solidFill>
          </w14:textFill>
        </w:rPr>
      </w:pPr>
      <w:r>
        <w:rPr>
          <w:rFonts w:ascii="宋体" w:hAnsi="宋体" w:eastAsia="宋体"/>
          <w:bCs/>
          <w:color w:val="000000" w:themeColor="text1"/>
          <w:kern w:val="2"/>
          <w:sz w:val="28"/>
          <w:szCs w:val="28"/>
          <w:lang w:eastAsia="zh-CN"/>
          <w14:textFill>
            <w14:solidFill>
              <w14:schemeClr w14:val="tx1"/>
            </w14:solidFill>
          </w14:textFill>
        </w:rPr>
        <w:t>4.</w:t>
      </w:r>
      <w:r>
        <w:rPr>
          <w:rFonts w:ascii="宋体" w:hAnsi="宋体" w:eastAsia="宋体"/>
          <w:bCs/>
          <w:color w:val="000000" w:themeColor="text1"/>
          <w:kern w:val="2"/>
          <w:sz w:val="28"/>
          <w:szCs w:val="28"/>
          <w:highlight w:val="none"/>
          <w:lang w:eastAsia="zh-CN"/>
          <w14:textFill>
            <w14:solidFill>
              <w14:schemeClr w14:val="tx1"/>
            </w14:solidFill>
          </w14:textFill>
        </w:rPr>
        <w:t>1  处置回收现金优先支付本协议1.2约定的资产处置费用</w:t>
      </w:r>
      <w:r>
        <w:rPr>
          <w:rFonts w:hint="eastAsia" w:ascii="宋体" w:hAnsi="宋体" w:eastAsia="宋体"/>
          <w:bCs/>
          <w:color w:val="000000" w:themeColor="text1"/>
          <w:kern w:val="2"/>
          <w:sz w:val="28"/>
          <w:szCs w:val="28"/>
          <w:highlight w:val="none"/>
          <w:lang w:eastAsia="zh-CN"/>
          <w14:textFill>
            <w14:solidFill>
              <w14:schemeClr w14:val="tx1"/>
            </w14:solidFill>
          </w14:textFill>
        </w:rPr>
        <w:t>，其余部分按3.5条规定</w:t>
      </w:r>
      <w:r>
        <w:rPr>
          <w:rFonts w:ascii="宋体" w:hAnsi="宋体" w:eastAsia="宋体"/>
          <w:bCs/>
          <w:color w:val="000000" w:themeColor="text1"/>
          <w:kern w:val="2"/>
          <w:sz w:val="28"/>
          <w:szCs w:val="28"/>
          <w:highlight w:val="none"/>
          <w:lang w:eastAsia="zh-CN"/>
          <w14:textFill>
            <w14:solidFill>
              <w14:schemeClr w14:val="tx1"/>
            </w14:solidFill>
          </w14:textFill>
        </w:rPr>
        <w:t>支付到甲方指定账户</w:t>
      </w:r>
      <w:r>
        <w:rPr>
          <w:rFonts w:hint="eastAsia" w:ascii="宋体" w:hAnsi="宋体" w:eastAsia="宋体"/>
          <w:bCs/>
          <w:color w:val="000000" w:themeColor="text1"/>
          <w:kern w:val="2"/>
          <w:sz w:val="28"/>
          <w:szCs w:val="28"/>
          <w:highlight w:val="none"/>
          <w:lang w:eastAsia="zh-CN"/>
          <w14:textFill>
            <w14:solidFill>
              <w14:schemeClr w14:val="tx1"/>
            </w14:solidFill>
          </w14:textFill>
        </w:rPr>
        <w:t>。</w:t>
      </w:r>
    </w:p>
    <w:p>
      <w:pPr>
        <w:spacing w:line="520" w:lineRule="exact"/>
        <w:ind w:firstLine="560" w:firstLineChars="200"/>
        <w:rPr>
          <w:rFonts w:hint="eastAsia"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委托处置期间发生的资产处置费用，由受托方先行垫付，并在处置回收现金中扣减。</w:t>
      </w:r>
    </w:p>
    <w:p>
      <w:pPr>
        <w:pStyle w:val="5"/>
        <w:ind w:firstLine="0"/>
        <w:rPr>
          <w:rFonts w:hint="default" w:eastAsia="宋体"/>
          <w:lang w:val="en-US" w:eastAsia="zh-CN"/>
        </w:rPr>
      </w:pPr>
      <w:r>
        <w:rPr>
          <w:rFonts w:hint="eastAsia" w:ascii="宋体" w:hAnsi="宋体" w:eastAsia="宋体"/>
          <w:bCs/>
          <w:color w:val="000000" w:themeColor="text1"/>
          <w:sz w:val="28"/>
          <w:szCs w:val="28"/>
          <w:lang w:val="en-US" w:eastAsia="zh-CN"/>
          <w14:textFill>
            <w14:solidFill>
              <w14:schemeClr w14:val="tx1"/>
            </w14:solidFill>
          </w14:textFill>
        </w:rPr>
        <w:t xml:space="preserve">   </w:t>
      </w:r>
      <w:r>
        <w:rPr>
          <w:rFonts w:hint="eastAsia" w:ascii="宋体" w:hAnsi="宋体" w:eastAsia="宋体"/>
          <w:bCs/>
          <w:color w:val="000000" w:themeColor="text1"/>
          <w:sz w:val="28"/>
          <w:szCs w:val="28"/>
          <w:lang w:eastAsia="zh-CN"/>
          <w14:textFill>
            <w14:solidFill>
              <w14:schemeClr w14:val="tx1"/>
            </w14:solidFill>
          </w14:textFill>
        </w:rPr>
        <w:t>受托方可扣减的处置费用指委托期间发生的资产处置费用</w:t>
      </w:r>
      <w:r>
        <w:rPr>
          <w:rFonts w:hint="eastAsia" w:ascii="宋体" w:hAnsi="宋体" w:eastAsia="宋体"/>
          <w:bCs/>
          <w:color w:val="000000" w:themeColor="text1"/>
          <w:sz w:val="28"/>
          <w:szCs w:val="28"/>
          <w:lang w:val="en-US" w:eastAsia="zh-CN"/>
          <w14:textFill>
            <w14:solidFill>
              <w14:schemeClr w14:val="tx1"/>
            </w14:solidFill>
          </w14:textFill>
        </w:rPr>
        <w:t>及承继受托方原中介机构协议而应支付的费</w:t>
      </w:r>
      <w:r>
        <w:rPr>
          <w:rFonts w:hint="eastAsia" w:ascii="宋体" w:hAnsi="宋体" w:eastAsia="宋体"/>
          <w:bCs/>
          <w:color w:val="000000" w:themeColor="text1"/>
          <w:sz w:val="28"/>
          <w:szCs w:val="28"/>
          <w:highlight w:val="none"/>
          <w:lang w:val="en-US" w:eastAsia="zh-CN"/>
          <w14:textFill>
            <w14:solidFill>
              <w14:schemeClr w14:val="tx1"/>
            </w14:solidFill>
          </w14:textFill>
        </w:rPr>
        <w:t>用</w:t>
      </w:r>
      <w:r>
        <w:rPr>
          <w:rFonts w:hint="eastAsia" w:ascii="宋体" w:hAnsi="宋体" w:eastAsia="宋体"/>
          <w:bCs/>
          <w:color w:val="000000" w:themeColor="text1"/>
          <w:sz w:val="28"/>
          <w:szCs w:val="28"/>
          <w:highlight w:val="none"/>
          <w:lang w:eastAsia="zh-CN"/>
          <w14:textFill>
            <w14:solidFill>
              <w14:schemeClr w14:val="tx1"/>
            </w14:solidFill>
          </w14:textFill>
        </w:rPr>
        <w:t>，在编号为</w:t>
      </w:r>
      <w:r>
        <w:rPr>
          <w:rFonts w:hint="default" w:ascii="宋体" w:hAnsi="宋体" w:eastAsia="宋体"/>
          <w:bCs/>
          <w:color w:val="000000" w:themeColor="text1"/>
          <w:sz w:val="28"/>
          <w:szCs w:val="28"/>
          <w:highlight w:val="none"/>
          <w:lang w:eastAsia="zh-CN"/>
          <w14:textFill>
            <w14:solidFill>
              <w14:schemeClr w14:val="tx1"/>
            </w14:solidFill>
          </w14:textFill>
        </w:rPr>
        <w:t xml:space="preserve"> </w:t>
      </w:r>
      <w:r>
        <w:rPr>
          <w:rFonts w:hint="eastAsia" w:ascii="宋体" w:hAnsi="宋体" w:eastAsia="宋体"/>
          <w:bCs/>
          <w:color w:val="000000" w:themeColor="text1"/>
          <w:sz w:val="28"/>
          <w:szCs w:val="28"/>
          <w:highlight w:val="none"/>
          <w:lang w:val="en-US" w:eastAsia="zh-CN"/>
          <w14:textFill>
            <w14:solidFill>
              <w14:schemeClr w14:val="tx1"/>
            </w14:solidFill>
          </w14:textFill>
        </w:rPr>
        <w:t>*号</w:t>
      </w:r>
      <w:r>
        <w:rPr>
          <w:rFonts w:hint="eastAsia" w:ascii="宋体" w:hAnsi="宋体" w:eastAsia="宋体"/>
          <w:bCs/>
          <w:color w:val="000000" w:themeColor="text1"/>
          <w:sz w:val="28"/>
          <w:szCs w:val="28"/>
          <w:highlight w:val="none"/>
          <w:lang w:eastAsia="zh-CN"/>
          <w14:textFill>
            <w14:solidFill>
              <w14:schemeClr w14:val="tx1"/>
            </w14:solidFill>
          </w14:textFill>
        </w:rPr>
        <w:t>的《资产转让协议》约定的基准日之前已经发生且已经支付的费用及在上述基准日前已经发生未及支付的费用均不得在上述处置回收</w:t>
      </w:r>
      <w:r>
        <w:rPr>
          <w:rFonts w:hint="eastAsia" w:ascii="宋体" w:hAnsi="宋体" w:eastAsia="宋体"/>
          <w:bCs/>
          <w:color w:val="000000" w:themeColor="text1"/>
          <w:sz w:val="28"/>
          <w:szCs w:val="28"/>
          <w:lang w:eastAsia="zh-CN"/>
          <w14:textFill>
            <w14:solidFill>
              <w14:schemeClr w14:val="tx1"/>
            </w14:solidFill>
          </w14:textFill>
        </w:rPr>
        <w:t>现金中扣减</w:t>
      </w:r>
      <w:r>
        <w:rPr>
          <w:rFonts w:hint="eastAsia" w:ascii="宋体" w:hAnsi="宋体" w:eastAsia="宋体"/>
          <w:bCs/>
          <w:color w:val="000000" w:themeColor="text1"/>
          <w:sz w:val="28"/>
          <w:szCs w:val="28"/>
          <w:lang w:val="en-US" w:eastAsia="zh-CN"/>
          <w14:textFill>
            <w14:solidFill>
              <w14:schemeClr w14:val="tx1"/>
            </w14:solidFill>
          </w14:textFill>
        </w:rPr>
        <w:t>。</w:t>
      </w:r>
    </w:p>
    <w:p>
      <w:pPr>
        <w:spacing w:line="520" w:lineRule="exact"/>
        <w:ind w:firstLine="560" w:firstLineChars="200"/>
        <w:rPr>
          <w:rFonts w:hint="eastAsia"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lang w:val="en-US" w:eastAsia="zh-CN"/>
          <w14:textFill>
            <w14:solidFill>
              <w14:schemeClr w14:val="tx1"/>
            </w14:solidFill>
          </w14:textFill>
        </w:rPr>
        <w:t>处置</w:t>
      </w:r>
      <w:r>
        <w:rPr>
          <w:rFonts w:hint="eastAsia" w:ascii="宋体" w:hAnsi="宋体"/>
          <w:bCs/>
          <w:color w:val="000000" w:themeColor="text1"/>
          <w:sz w:val="28"/>
          <w:szCs w:val="28"/>
          <w14:textFill>
            <w14:solidFill>
              <w14:schemeClr w14:val="tx1"/>
            </w14:solidFill>
          </w14:textFill>
        </w:rPr>
        <w:t>回收金额超出“整包清收目标金额”部分的</w:t>
      </w:r>
      <w:r>
        <w:rPr>
          <w:rFonts w:hint="eastAsia" w:ascii="宋体" w:hAnsi="宋体"/>
          <w:bCs/>
          <w:color w:val="000000" w:themeColor="text1"/>
          <w:sz w:val="28"/>
          <w:szCs w:val="28"/>
          <w:lang w:val="en-US"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%计算委托处置报酬。</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其中“整包清收目标金额”=标的资产收购</w:t>
      </w:r>
      <w:r>
        <w:rPr>
          <w:rFonts w:hint="eastAsia" w:ascii="宋体" w:hAnsi="宋体"/>
          <w:bCs/>
          <w:color w:val="000000" w:themeColor="text1"/>
          <w:sz w:val="28"/>
          <w:szCs w:val="28"/>
          <w:lang w:val="en-US" w:eastAsia="zh-CN"/>
          <w14:textFill>
            <w14:solidFill>
              <w14:schemeClr w14:val="tx1"/>
            </w14:solidFill>
          </w14:textFill>
        </w:rPr>
        <w:t>价款</w:t>
      </w:r>
      <w:r>
        <w:rPr>
          <w:rFonts w:hint="eastAsia" w:ascii="宋体" w:hAnsi="宋体"/>
          <w:bCs/>
          <w:color w:val="000000" w:themeColor="text1"/>
          <w:sz w:val="28"/>
          <w:szCs w:val="28"/>
          <w14:textFill>
            <w14:solidFill>
              <w14:schemeClr w14:val="tx1"/>
            </w14:solidFill>
          </w14:textFill>
        </w:rPr>
        <w:t>+∑标的资产收购</w:t>
      </w:r>
      <w:r>
        <w:rPr>
          <w:rFonts w:hint="eastAsia" w:ascii="宋体" w:hAnsi="宋体"/>
          <w:bCs/>
          <w:color w:val="000000" w:themeColor="text1"/>
          <w:sz w:val="28"/>
          <w:szCs w:val="28"/>
          <w:lang w:val="en-US" w:eastAsia="zh-CN"/>
          <w14:textFill>
            <w14:solidFill>
              <w14:schemeClr w14:val="tx1"/>
            </w14:solidFill>
          </w14:textFill>
        </w:rPr>
        <w:t>价款</w:t>
      </w:r>
      <w:r>
        <w:rPr>
          <w:rFonts w:hint="eastAsia" w:ascii="宋体" w:hAnsi="宋体"/>
          <w:bCs/>
          <w:color w:val="000000" w:themeColor="text1"/>
          <w:sz w:val="28"/>
          <w:szCs w:val="28"/>
          <w14:textFill>
            <w14:solidFill>
              <w14:schemeClr w14:val="tx1"/>
            </w14:solidFill>
          </w14:textFill>
        </w:rPr>
        <w:t>日终余额*目标收益率/360+∑资产处置费用。</w:t>
      </w:r>
    </w:p>
    <w:p>
      <w:pPr>
        <w:pStyle w:val="5"/>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eastAsia="宋体"/>
          <w:bCs/>
          <w:color w:val="000000" w:themeColor="text1"/>
          <w:kern w:val="2"/>
          <w:sz w:val="28"/>
          <w:szCs w:val="28"/>
          <w:lang w:eastAsia="zh-CN"/>
          <w14:textFill>
            <w14:solidFill>
              <w14:schemeClr w14:val="tx1"/>
            </w14:solidFill>
          </w14:textFill>
        </w:rPr>
        <w:t>收购价款指编号为</w:t>
      </w:r>
      <w:r>
        <w:rPr>
          <w:rFonts w:hint="eastAsia" w:ascii="宋体" w:hAnsi="宋体" w:eastAsia="宋体"/>
          <w:bCs/>
          <w:color w:val="000000" w:themeColor="text1"/>
          <w:kern w:val="2"/>
          <w:sz w:val="28"/>
          <w:szCs w:val="28"/>
          <w:lang w:val="en-US" w:eastAsia="zh-CN"/>
          <w14:textFill>
            <w14:solidFill>
              <w14:schemeClr w14:val="tx1"/>
            </w14:solidFill>
          </w14:textFill>
        </w:rPr>
        <w:t xml:space="preserve"> *</w:t>
      </w:r>
      <w:r>
        <w:rPr>
          <w:rFonts w:hint="eastAsia" w:ascii="宋体" w:hAnsi="宋体" w:eastAsia="宋体"/>
          <w:bCs/>
          <w:color w:val="000000" w:themeColor="text1"/>
          <w:kern w:val="2"/>
          <w:sz w:val="28"/>
          <w:szCs w:val="28"/>
          <w:lang w:eastAsia="zh-CN"/>
          <w14:textFill>
            <w14:solidFill>
              <w14:schemeClr w14:val="tx1"/>
            </w14:solidFill>
          </w14:textFill>
        </w:rPr>
        <w:t>的《资产转让协议》中</w:t>
      </w:r>
      <w:r>
        <w:rPr>
          <w:rFonts w:hint="eastAsia" w:ascii="宋体" w:hAnsi="宋体" w:eastAsia="宋体" w:cs="宋体"/>
          <w:bCs/>
          <w:color w:val="000000" w:themeColor="text1"/>
          <w:kern w:val="2"/>
          <w:sz w:val="28"/>
          <w:szCs w:val="28"/>
          <w:lang w:eastAsia="zh-CN"/>
          <w14:textFill>
            <w14:solidFill>
              <w14:schemeClr w14:val="tx1"/>
            </w14:solidFill>
          </w14:textFill>
        </w:rPr>
        <w:t>标的资产的转让价款</w:t>
      </w:r>
      <w:r>
        <w:rPr>
          <w:rFonts w:hint="eastAsia" w:ascii="宋体" w:hAnsi="宋体" w:eastAsia="宋体"/>
          <w:bCs/>
          <w:color w:val="000000" w:themeColor="text1"/>
          <w:kern w:val="2"/>
          <w:sz w:val="28"/>
          <w:szCs w:val="28"/>
          <w:lang w:eastAsia="zh-CN"/>
          <w14:textFill>
            <w14:solidFill>
              <w14:schemeClr w14:val="tx1"/>
            </w14:solidFill>
          </w14:textFill>
        </w:rPr>
        <w:t>。</w:t>
      </w:r>
    </w:p>
    <w:p>
      <w:pPr>
        <w:pStyle w:val="5"/>
        <w:ind w:firstLine="0"/>
        <w:rPr>
          <w:rFonts w:ascii="宋体" w:hAnsi="宋体" w:eastAsia="宋体"/>
          <w:bCs/>
          <w:color w:val="000000" w:themeColor="text1"/>
          <w:kern w:val="2"/>
          <w:sz w:val="28"/>
          <w:szCs w:val="28"/>
          <w:lang w:eastAsia="zh-CN"/>
          <w14:textFill>
            <w14:solidFill>
              <w14:schemeClr w14:val="tx1"/>
            </w14:solidFill>
          </w14:textFill>
        </w:rPr>
      </w:pPr>
      <w:r>
        <w:rPr>
          <w:rFonts w:ascii="宋体" w:hAnsi="宋体" w:eastAsia="宋体"/>
          <w:bCs/>
          <w:color w:val="000000" w:themeColor="text1"/>
          <w:kern w:val="2"/>
          <w:sz w:val="28"/>
          <w:szCs w:val="28"/>
          <w:lang w:eastAsia="zh-CN"/>
          <w14:textFill>
            <w14:solidFill>
              <w14:schemeClr w14:val="tx1"/>
            </w14:solidFill>
          </w14:textFill>
        </w:rPr>
        <w:t xml:space="preserve">   4.</w:t>
      </w:r>
      <w:r>
        <w:rPr>
          <w:rFonts w:hint="eastAsia" w:ascii="宋体" w:hAnsi="宋体" w:eastAsia="宋体"/>
          <w:bCs/>
          <w:color w:val="000000" w:themeColor="text1"/>
          <w:kern w:val="2"/>
          <w:sz w:val="28"/>
          <w:szCs w:val="28"/>
          <w:lang w:eastAsia="zh-CN"/>
          <w14:textFill>
            <w14:solidFill>
              <w14:schemeClr w14:val="tx1"/>
            </w14:solidFill>
          </w14:textFill>
        </w:rPr>
        <w:t>3</w:t>
      </w:r>
      <w:r>
        <w:rPr>
          <w:rFonts w:ascii="宋体" w:hAnsi="宋体" w:eastAsia="宋体"/>
          <w:bCs/>
          <w:color w:val="000000" w:themeColor="text1"/>
          <w:kern w:val="2"/>
          <w:sz w:val="28"/>
          <w:szCs w:val="28"/>
          <w:lang w:eastAsia="zh-CN"/>
          <w14:textFill>
            <w14:solidFill>
              <w14:schemeClr w14:val="tx1"/>
            </w14:solidFill>
          </w14:textFill>
        </w:rPr>
        <w:t xml:space="preserve">  </w:t>
      </w:r>
      <w:r>
        <w:rPr>
          <w:rFonts w:hint="eastAsia" w:ascii="宋体" w:hAnsi="宋体" w:eastAsia="宋体"/>
          <w:bCs/>
          <w:color w:val="000000" w:themeColor="text1"/>
          <w:kern w:val="2"/>
          <w:sz w:val="28"/>
          <w:szCs w:val="28"/>
          <w:lang w:eastAsia="zh-CN"/>
          <w14:textFill>
            <w14:solidFill>
              <w14:schemeClr w14:val="tx1"/>
            </w14:solidFill>
          </w14:textFill>
        </w:rPr>
        <w:t>受托处置报酬在双方核对一致后，每期结算时由乙方在清收回款中直接扣划。</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第五条 甲方权利和义务</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5.1甲方的权利 </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1）甲方对标的资产享有所有权,对标的资产的处置方案具有最终的决策权和审批权；</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2）对标的资产中受托方拟处置的资产，有权作出放弃、减免等决策，有权要求受托方派遣人员配合前往资产所在地进行相关调查取证，但</w:t>
      </w:r>
      <w:r>
        <w:rPr>
          <w:rFonts w:hint="eastAsia" w:ascii="宋体" w:hAnsi="宋体"/>
          <w:bCs/>
          <w:color w:val="000000" w:themeColor="text1"/>
          <w:sz w:val="28"/>
          <w:szCs w:val="28"/>
          <w:lang w:val="en-US" w:eastAsia="zh-CN"/>
          <w14:textFill>
            <w14:solidFill>
              <w14:schemeClr w14:val="tx1"/>
            </w14:solidFill>
          </w14:textFill>
        </w:rPr>
        <w:t>因</w:t>
      </w:r>
      <w:r>
        <w:rPr>
          <w:rFonts w:ascii="宋体" w:hAnsi="宋体"/>
          <w:bCs/>
          <w:color w:val="000000" w:themeColor="text1"/>
          <w:sz w:val="28"/>
          <w:szCs w:val="28"/>
          <w14:textFill>
            <w14:solidFill>
              <w14:schemeClr w14:val="tx1"/>
            </w14:solidFill>
          </w14:textFill>
        </w:rPr>
        <w:t>不可抗力的除外；</w:t>
      </w:r>
    </w:p>
    <w:p>
      <w:pPr>
        <w:spacing w:line="520" w:lineRule="exact"/>
        <w:ind w:firstLine="420" w:firstLineChars="150"/>
      </w:pPr>
      <w:r>
        <w:rPr>
          <w:rFonts w:hint="eastAsia" w:ascii="宋体" w:hAnsi="宋体"/>
          <w:bCs/>
          <w:color w:val="000000" w:themeColor="text1"/>
          <w:sz w:val="28"/>
          <w:szCs w:val="28"/>
          <w14:textFill>
            <w14:solidFill>
              <w14:schemeClr w14:val="tx1"/>
            </w14:solidFill>
          </w14:textFill>
        </w:rPr>
        <w:t>（3）有权要求受托方就资产的处置进度、计划完成情况及其它相关情况作出完整、准确的书面解释；</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（4）有权与受托方沟通一致制定标的资产处置进度计划；</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（5）除不可抗力、政策原因等非归咎于受托方的情形外，受托方累计</w:t>
      </w:r>
      <w:r>
        <w:rPr>
          <w:rFonts w:hint="eastAsia" w:ascii="宋体" w:hAnsi="宋体"/>
          <w:bCs/>
          <w:color w:val="000000" w:themeColor="text1"/>
          <w:sz w:val="28"/>
          <w:szCs w:val="28"/>
          <w:lang w:val="en-US" w:eastAsia="zh-CN"/>
          <w14:textFill>
            <w14:solidFill>
              <w14:schemeClr w14:val="tx1"/>
            </w14:solidFill>
          </w14:textFill>
        </w:rPr>
        <w:t>三</w:t>
      </w:r>
      <w:r>
        <w:rPr>
          <w:rFonts w:hint="eastAsia" w:ascii="宋体" w:hAnsi="宋体"/>
          <w:bCs/>
          <w:color w:val="000000" w:themeColor="text1"/>
          <w:sz w:val="28"/>
          <w:szCs w:val="28"/>
          <w14:textFill>
            <w14:solidFill>
              <w14:schemeClr w14:val="tx1"/>
            </w14:solidFill>
          </w14:textFill>
        </w:rPr>
        <w:t>年未完成3.4款约定的处置目标的，甲方有权解除本协议</w:t>
      </w:r>
      <w:r>
        <w:rPr>
          <w:rFonts w:hint="eastAsia" w:ascii="宋体" w:hAnsi="宋体"/>
          <w:bCs/>
          <w:color w:val="000000" w:themeColor="text1"/>
          <w:sz w:val="28"/>
          <w:szCs w:val="28"/>
          <w:lang w:val="en-US" w:eastAsia="zh-CN"/>
          <w14:textFill>
            <w14:solidFill>
              <w14:schemeClr w14:val="tx1"/>
            </w14:solidFill>
          </w14:textFill>
        </w:rPr>
        <w:t>或不延期</w:t>
      </w:r>
      <w:r>
        <w:rPr>
          <w:rFonts w:hint="eastAsia" w:ascii="宋体" w:hAnsi="宋体"/>
          <w:bCs/>
          <w:color w:val="000000" w:themeColor="text1"/>
          <w:sz w:val="28"/>
          <w:szCs w:val="28"/>
          <w14:textFill>
            <w14:solidFill>
              <w14:schemeClr w14:val="tx1"/>
            </w14:solidFill>
          </w14:textFill>
        </w:rPr>
        <w:t>；</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（6）有权检查受托方处置工作情况，督促受托方开展处置工作。</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5.2甲方的义务</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 对受托方提出的请示</w:t>
      </w:r>
      <w:r>
        <w:rPr>
          <w:rFonts w:hint="eastAsia" w:ascii="宋体" w:hAnsi="宋体"/>
          <w:bCs/>
          <w:color w:val="000000" w:themeColor="text1"/>
          <w:sz w:val="28"/>
          <w:szCs w:val="28"/>
          <w:lang w:val="en-US" w:eastAsia="zh-CN"/>
          <w14:textFill>
            <w14:solidFill>
              <w14:schemeClr w14:val="tx1"/>
            </w14:solidFill>
          </w14:textFill>
        </w:rPr>
        <w:t>或处置方案</w:t>
      </w:r>
      <w:r>
        <w:rPr>
          <w:rFonts w:hint="eastAsia" w:ascii="宋体" w:hAnsi="宋体"/>
          <w:bCs/>
          <w:color w:val="000000" w:themeColor="text1"/>
          <w:sz w:val="28"/>
          <w:szCs w:val="28"/>
          <w14:textFill>
            <w14:solidFill>
              <w14:schemeClr w14:val="tx1"/>
            </w14:solidFill>
          </w14:textFill>
        </w:rPr>
        <w:t>（如有），甲方应在</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个工作日内给予意见明确的书面答复，否则视为同意（授权事项除外）；</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（2）甲方有义务发挥自身优势，与受托方形成合力，共同推动标的资产处置工作，提高处置效益；甲方应配合、支持受托方工作人员的处置工作，为受托方在处置工作期间出具必要的授权委托书、介绍信等；</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 指派专人与受托方工作人员对口联系和合作，对受托方提交的维权和处置方案等文件负责登记、签收和处理；</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（4）对受托方在处置工作中不宜公开的资料、文件及提供的咨询性意见等，负有保密义务；</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w:t>
      </w:r>
      <w:r>
        <w:rPr>
          <w:rFonts w:ascii="宋体" w:hAnsi="宋体"/>
          <w:bCs/>
          <w:color w:val="000000" w:themeColor="text1"/>
          <w:sz w:val="28"/>
          <w:szCs w:val="28"/>
          <w14:textFill>
            <w14:solidFill>
              <w14:schemeClr w14:val="tx1"/>
            </w14:solidFill>
          </w14:textFill>
        </w:rPr>
        <w:t>甲方已知悉受托方须遵守香港联合交易所有限公司关于防范和控制国际制裁风险的要求。相关合同或协议签署后，由于甲方</w:t>
      </w:r>
      <w:r>
        <w:rPr>
          <w:rFonts w:hint="eastAsia" w:ascii="宋体" w:hAnsi="宋体"/>
          <w:bCs/>
          <w:color w:val="000000" w:themeColor="text1"/>
          <w:sz w:val="28"/>
          <w:szCs w:val="28"/>
          <w14:textFill>
            <w14:solidFill>
              <w14:schemeClr w14:val="tx1"/>
            </w14:solidFill>
          </w14:textFill>
        </w:rPr>
        <w:t>原因</w:t>
      </w:r>
      <w:r>
        <w:rPr>
          <w:rFonts w:ascii="宋体" w:hAnsi="宋体"/>
          <w:bCs/>
          <w:color w:val="000000" w:themeColor="text1"/>
          <w:sz w:val="28"/>
          <w:szCs w:val="28"/>
          <w14:textFill>
            <w14:solidFill>
              <w14:schemeClr w14:val="tx1"/>
            </w14:solidFill>
          </w14:textFill>
        </w:rPr>
        <w:t>导致受托方具有可能遭受制裁的潜在风险时，甲方应及时通知受托方，并采取一切必要措施，确保</w:t>
      </w:r>
      <w:r>
        <w:rPr>
          <w:rFonts w:hint="eastAsia" w:ascii="宋体" w:hAnsi="宋体"/>
          <w:bCs/>
          <w:color w:val="000000" w:themeColor="text1"/>
          <w:sz w:val="28"/>
          <w:szCs w:val="28"/>
          <w14:textFill>
            <w14:solidFill>
              <w14:schemeClr w14:val="tx1"/>
            </w14:solidFill>
          </w14:textFill>
        </w:rPr>
        <w:t>乙方不会因此遭受制裁；如造成受托方损失的，甲方应赔偿受托方因制裁产生的损失；</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甲方负有配合受托方开展反洗钱工作的义务，包括按照受托方要求如实提供包括但不限于甲方及其受益所有人身份信息、资金来源、交易目的及相关证明文件、财务报表及其他受托方需要的任何资料与信息，并保证所提供给受托方资料及信息的真实、准确及完整。甲方应确保合作期间持续满足受托方反洗钱客户及其受益所有人身份持续识别及风险等级动态评估工作需要，及时向受托方提供甲方及其受益所有人信息变更情况；</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7）甲方承诺，甲方签署本协议及其他交易文件及根据本协议及其他交易文件履行义务或行使权利，均不会与任何可适用的法律、法规、判决、决定、命令、授权或协议冲突或导致对前述的违反，也不会超出对其的任何限制。 </w:t>
      </w:r>
    </w:p>
    <w:p>
      <w:pPr>
        <w:spacing w:line="400" w:lineRule="exact"/>
        <w:ind w:firstLine="420" w:firstLineChars="15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第六条 受托方权利和义务</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6.1受托方的权利</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（1）依照法律法规和甲方的授权委托，代表甲方依法行使权利，开展处置工作；</w:t>
      </w:r>
    </w:p>
    <w:p>
      <w:pPr>
        <w:pStyle w:val="5"/>
        <w:spacing w:line="520" w:lineRule="exact"/>
        <w:ind w:firstLine="420" w:firstLineChars="150"/>
        <w:rPr>
          <w:rFonts w:ascii="宋体" w:hAnsi="宋体" w:eastAsiaTheme="minorEastAsia"/>
          <w:bCs/>
          <w:color w:val="000000" w:themeColor="text1"/>
          <w:sz w:val="28"/>
          <w:szCs w:val="28"/>
          <w14:textFill>
            <w14:solidFill>
              <w14:schemeClr w14:val="tx1"/>
            </w14:solidFill>
          </w14:textFill>
        </w:rPr>
      </w:pPr>
      <w:r>
        <w:rPr>
          <w:rFonts w:hint="eastAsia" w:ascii="宋体" w:hAnsi="宋体" w:eastAsia="宋体"/>
          <w:bCs/>
          <w:color w:val="000000" w:themeColor="text1"/>
          <w:kern w:val="2"/>
          <w:sz w:val="28"/>
          <w:szCs w:val="28"/>
          <w:lang w:eastAsia="zh-CN"/>
          <w14:textFill>
            <w14:solidFill>
              <w14:schemeClr w14:val="tx1"/>
            </w14:solidFill>
          </w14:textFill>
        </w:rPr>
        <w:t>（</w:t>
      </w:r>
      <w:r>
        <w:rPr>
          <w:rFonts w:ascii="宋体" w:hAnsi="宋体" w:eastAsia="宋体"/>
          <w:bCs/>
          <w:color w:val="000000" w:themeColor="text1"/>
          <w:kern w:val="2"/>
          <w:sz w:val="28"/>
          <w:szCs w:val="28"/>
          <w:lang w:eastAsia="zh-CN"/>
          <w14:textFill>
            <w14:solidFill>
              <w14:schemeClr w14:val="tx1"/>
            </w14:solidFill>
          </w14:textFill>
        </w:rPr>
        <w:t>2</w:t>
      </w:r>
      <w:r>
        <w:rPr>
          <w:rFonts w:hint="eastAsia" w:ascii="宋体" w:hAnsi="宋体" w:eastAsia="宋体"/>
          <w:bCs/>
          <w:color w:val="000000" w:themeColor="text1"/>
          <w:kern w:val="2"/>
          <w:sz w:val="28"/>
          <w:szCs w:val="28"/>
          <w:lang w:eastAsia="zh-CN"/>
          <w14:textFill>
            <w14:solidFill>
              <w14:schemeClr w14:val="tx1"/>
            </w14:solidFill>
          </w14:textFill>
        </w:rPr>
        <w:t>）有权依约足额收取委托处置报酬；</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（3）在服从甲方总体工作安排下独立地开展工作；</w:t>
      </w:r>
    </w:p>
    <w:p>
      <w:pPr>
        <w:pStyle w:val="5"/>
        <w:ind w:firstLine="420"/>
        <w:rPr>
          <w:rFonts w:ascii="宋体" w:hAnsi="宋体" w:eastAsia="宋体"/>
          <w:bCs/>
          <w:color w:val="000000" w:themeColor="text1"/>
          <w:kern w:val="2"/>
          <w:sz w:val="28"/>
          <w:szCs w:val="28"/>
          <w:lang w:eastAsia="zh-CN"/>
          <w14:textFill>
            <w14:solidFill>
              <w14:schemeClr w14:val="tx1"/>
            </w14:solidFill>
          </w14:textFill>
        </w:rPr>
      </w:pPr>
      <w:r>
        <w:rPr>
          <w:rFonts w:hint="eastAsia" w:ascii="宋体" w:hAnsi="宋体" w:eastAsia="宋体"/>
          <w:bCs/>
          <w:color w:val="000000" w:themeColor="text1"/>
          <w:kern w:val="2"/>
          <w:sz w:val="28"/>
          <w:szCs w:val="28"/>
          <w:lang w:eastAsia="zh-CN"/>
          <w14:textFill>
            <w14:solidFill>
              <w14:schemeClr w14:val="tx1"/>
            </w14:solidFill>
          </w14:textFill>
        </w:rPr>
        <w:t>（4）委托期满后，双方可以视情况解除委托关系或协商续期。若解除委托关系的，甲方就剩余未处置资产（包含抵债及转股等非现金资产）挂牌公开处置时，同等条件下，受托方有优先购买权。</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6.2受托方的义务</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（1）指派有从事金融资产管理和处置专业技能的人员，从事标的资产的处置工作，明确一名联络人员负责对甲方提交维权和处置类等文件的登记和签收；</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（2）及时向甲方通报在标的资产维权和处置过程中获得的重大信息；及时提示甲方注意其与相关当事人及在相关事务中可能承担的法律责任； </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（3）遵守国家法律、法规和相关职业道德，勤勉、严谨地为甲方提供代理，使甲方委托事项合法、合规地得以处理，维护甲方的合法权益；</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（4）对甲方提供的文件资料、所作的陈述，和在处置工作中接触到的涉及甲方重大经营决策、商业及其他秘密等资料、信息中不宜公开披露的部分负有保密义务；</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（5）每</w:t>
      </w:r>
      <w:r>
        <w:rPr>
          <w:rFonts w:hint="eastAsia" w:ascii="宋体" w:hAnsi="宋体"/>
          <w:bCs/>
          <w:color w:val="000000" w:themeColor="text1"/>
          <w:sz w:val="28"/>
          <w:szCs w:val="28"/>
          <w:lang w:val="en-US" w:eastAsia="zh-CN"/>
          <w14:textFill>
            <w14:solidFill>
              <w14:schemeClr w14:val="tx1"/>
            </w14:solidFill>
          </w14:textFill>
        </w:rPr>
        <w:t>半年</w:t>
      </w:r>
      <w:r>
        <w:rPr>
          <w:rFonts w:hint="eastAsia" w:ascii="宋体" w:hAnsi="宋体"/>
          <w:bCs/>
          <w:color w:val="000000" w:themeColor="text1"/>
          <w:sz w:val="28"/>
          <w:szCs w:val="28"/>
          <w14:textFill>
            <w14:solidFill>
              <w14:schemeClr w14:val="tx1"/>
            </w14:solidFill>
          </w14:textFill>
        </w:rPr>
        <w:t xml:space="preserve">以书面形式向甲方报告标的资产处置进展，对甲方须回复的函件应及时作出答复； </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受托方在进行委托资产管理及处置过程中，应以诚实信用为原则，确保主债权和相应的从权利持续合法有效。及时地向具体的资产项下义务人进行催收，避免资产诉讼时效和保证时效的丧失，对已判决的资产，应避免执行时效的丧失，保证其有效性、对查封、冻结、保全等期限、抵质押进行续展维护；</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（7）受托方</w:t>
      </w:r>
      <w:r>
        <w:rPr>
          <w:rFonts w:ascii="宋体" w:hAnsi="宋体"/>
          <w:bCs/>
          <w:color w:val="000000" w:themeColor="text1"/>
          <w:sz w:val="28"/>
          <w:szCs w:val="28"/>
          <w14:textFill>
            <w14:solidFill>
              <w14:schemeClr w14:val="tx1"/>
            </w14:solidFill>
          </w14:textFill>
        </w:rPr>
        <w:t>在执行委</w:t>
      </w:r>
      <w:r>
        <w:rPr>
          <w:rFonts w:hint="eastAsia" w:ascii="宋体" w:hAnsi="宋体"/>
          <w:bCs/>
          <w:color w:val="000000" w:themeColor="text1"/>
          <w:sz w:val="28"/>
          <w:szCs w:val="28"/>
          <w14:textFill>
            <w14:solidFill>
              <w14:schemeClr w14:val="tx1"/>
            </w14:solidFill>
          </w14:textFill>
        </w:rPr>
        <w:t>托</w:t>
      </w:r>
      <w:r>
        <w:rPr>
          <w:rFonts w:ascii="宋体" w:hAnsi="宋体"/>
          <w:bCs/>
          <w:color w:val="000000" w:themeColor="text1"/>
          <w:sz w:val="28"/>
          <w:szCs w:val="28"/>
          <w14:textFill>
            <w14:solidFill>
              <w14:schemeClr w14:val="tx1"/>
            </w14:solidFill>
          </w14:textFill>
        </w:rPr>
        <w:t>事项过程中必须</w:t>
      </w:r>
      <w:r>
        <w:rPr>
          <w:rFonts w:hint="eastAsia" w:ascii="宋体" w:hAnsi="宋体"/>
          <w:bCs/>
          <w:color w:val="000000" w:themeColor="text1"/>
          <w:sz w:val="28"/>
          <w:szCs w:val="28"/>
          <w14:textFill>
            <w14:solidFill>
              <w14:schemeClr w14:val="tx1"/>
            </w14:solidFill>
          </w14:textFill>
        </w:rPr>
        <w:t>遵守</w:t>
      </w:r>
      <w:r>
        <w:rPr>
          <w:rFonts w:ascii="宋体" w:hAnsi="宋体"/>
          <w:bCs/>
          <w:color w:val="000000" w:themeColor="text1"/>
          <w:sz w:val="28"/>
          <w:szCs w:val="28"/>
          <w14:textFill>
            <w14:solidFill>
              <w14:schemeClr w14:val="tx1"/>
            </w14:solidFill>
          </w14:textFill>
        </w:rPr>
        <w:t>法律法规</w:t>
      </w:r>
      <w:r>
        <w:rPr>
          <w:rFonts w:hint="eastAsia" w:ascii="宋体" w:hAnsi="宋体"/>
          <w:bCs/>
          <w:color w:val="000000" w:themeColor="text1"/>
          <w:sz w:val="28"/>
          <w:szCs w:val="28"/>
          <w14:textFill>
            <w14:solidFill>
              <w14:schemeClr w14:val="tx1"/>
            </w14:solidFill>
          </w14:textFill>
        </w:rPr>
        <w:t>且</w:t>
      </w:r>
      <w:r>
        <w:rPr>
          <w:rFonts w:ascii="宋体" w:hAnsi="宋体"/>
          <w:bCs/>
          <w:color w:val="000000" w:themeColor="text1"/>
          <w:sz w:val="28"/>
          <w:szCs w:val="28"/>
          <w14:textFill>
            <w14:solidFill>
              <w14:schemeClr w14:val="tx1"/>
            </w14:solidFill>
          </w14:textFill>
        </w:rPr>
        <w:t>不得故意</w:t>
      </w:r>
      <w:r>
        <w:rPr>
          <w:rFonts w:hint="eastAsia" w:ascii="宋体" w:hAnsi="宋体"/>
          <w:bCs/>
          <w:color w:val="000000" w:themeColor="text1"/>
          <w:sz w:val="28"/>
          <w:szCs w:val="28"/>
          <w14:textFill>
            <w14:solidFill>
              <w14:schemeClr w14:val="tx1"/>
            </w14:solidFill>
          </w14:textFill>
        </w:rPr>
        <w:t>损害甲方声誉；</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（8）受托方在执行委托事项过程中因故意、重大过失造成甲方损失时，甲方有权解除本协议；</w:t>
      </w:r>
    </w:p>
    <w:p>
      <w:pPr>
        <w:spacing w:line="520" w:lineRule="exact"/>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9）受托方以债权转让方式处置相关资产时，须履行瑕疵披露和风险揭示义务，并要求受让方作出相关声明与保证。因受托方未书面约定前述内容而导致甲方被第三方受让人要求回购、追偿、诉讼、仲裁或承担任何责任的，由受托方负责处理。</w:t>
      </w:r>
    </w:p>
    <w:p>
      <w:pPr>
        <w:pStyle w:val="5"/>
      </w:pPr>
    </w:p>
    <w:p>
      <w:pPr>
        <w:spacing w:line="52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第七条 其他特别事项</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7.1 不另行委托</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受托期限内，除受托方认可，甲方不应另行委托其他第三方介入本协议项下标的资产的管理与处置。</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7.2甲方配合</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受托方接受委托后，为甲方利益而需要以甲方名义采取行动或出具有关文件的，甲方应积极配合受托方。</w:t>
      </w:r>
    </w:p>
    <w:p>
      <w:pPr>
        <w:spacing w:line="400" w:lineRule="exact"/>
        <w:ind w:firstLine="562" w:firstLineChars="200"/>
        <w:rPr>
          <w:rFonts w:ascii="宋体" w:hAnsi="宋体"/>
          <w:b/>
          <w:bCs/>
          <w:color w:val="000000" w:themeColor="text1"/>
          <w:sz w:val="28"/>
          <w:szCs w:val="28"/>
          <w14:textFill>
            <w14:solidFill>
              <w14:schemeClr w14:val="tx1"/>
            </w14:solidFill>
          </w14:textFill>
        </w:rPr>
      </w:pPr>
    </w:p>
    <w:p>
      <w:pPr>
        <w:spacing w:line="40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第八条 资产文件的管理及交割</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8.1 “资产文件”：指与确认和行使标的资产相关的全部法律文件，包括但不限于标的资产有关的协议、合同、权利凭证、法院判决和裁定等文件。《债权转让协议》交易基准日前各方对标的资产的内部文件（包括但不限于内部审批文件、为内部程序而进行的法律、财务尽调、评估文件等）不属于资产文件的范围之内。</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8.2</w:t>
      </w:r>
      <w:r>
        <w:rPr>
          <w:rFonts w:hint="eastAsia" w:ascii="宋体" w:hAnsi="宋体" w:cs="宋体"/>
          <w:sz w:val="24"/>
          <w:lang w:bidi="ar"/>
        </w:rPr>
        <w:t xml:space="preserve"> </w:t>
      </w:r>
      <w:r>
        <w:rPr>
          <w:rFonts w:hint="eastAsia" w:ascii="宋体" w:hAnsi="宋体"/>
          <w:bCs/>
          <w:color w:val="000000" w:themeColor="text1"/>
          <w:sz w:val="28"/>
          <w:szCs w:val="28"/>
          <w:lang w:bidi="ar"/>
          <w14:textFill>
            <w14:solidFill>
              <w14:schemeClr w14:val="tx1"/>
            </w14:solidFill>
          </w14:textFill>
        </w:rPr>
        <w:t>委托清收期限内，在双方履行必要的委托标的档案资料交接程序后，继续由受托方妥善保管标的资产管理和处置的相关文件。</w:t>
      </w:r>
      <w:r>
        <w:rPr>
          <w:rFonts w:hint="eastAsia" w:ascii="宋体" w:hAnsi="宋体" w:cs="宋体"/>
          <w:sz w:val="24"/>
          <w:lang w:bidi="ar"/>
        </w:rPr>
        <w:br w:type="textWrapping"/>
      </w:r>
      <w:r>
        <w:rPr>
          <w:rFonts w:hint="eastAsia" w:ascii="宋体" w:hAnsi="宋体" w:cs="宋体"/>
          <w:sz w:val="24"/>
          <w:lang w:bidi="ar"/>
        </w:rPr>
        <w:t xml:space="preserve">    </w:t>
      </w:r>
      <w:r>
        <w:rPr>
          <w:rFonts w:hint="eastAsia" w:ascii="宋体" w:hAnsi="宋体" w:cs="Times New Roman"/>
          <w:bCs/>
          <w:color w:val="000000" w:themeColor="text1"/>
          <w:sz w:val="28"/>
          <w:szCs w:val="28"/>
          <w:lang w:bidi="ar"/>
          <w14:textFill>
            <w14:solidFill>
              <w14:schemeClr w14:val="tx1"/>
            </w14:solidFill>
          </w14:textFill>
        </w:rPr>
        <w:t>为免疑义，本条所指双方履行的必要委托标的档案资料交接程序，指受托方在本协议签署后</w:t>
      </w:r>
      <w:r>
        <w:rPr>
          <w:rFonts w:hint="eastAsia" w:ascii="宋体" w:hAnsi="宋体" w:cs="Times New Roman"/>
          <w:bCs/>
          <w:color w:val="000000" w:themeColor="text1"/>
          <w:sz w:val="28"/>
          <w:szCs w:val="28"/>
          <w:lang w:val="en-US" w:eastAsia="zh-CN" w:bidi="ar"/>
          <w14:textFill>
            <w14:solidFill>
              <w14:schemeClr w14:val="tx1"/>
            </w14:solidFill>
          </w14:textFill>
        </w:rPr>
        <w:t>60日内</w:t>
      </w:r>
      <w:r>
        <w:rPr>
          <w:rFonts w:hint="eastAsia" w:ascii="宋体" w:hAnsi="宋体" w:cs="Times New Roman"/>
          <w:bCs/>
          <w:color w:val="000000" w:themeColor="text1"/>
          <w:sz w:val="28"/>
          <w:szCs w:val="28"/>
          <w:lang w:bidi="ar"/>
          <w14:textFill>
            <w14:solidFill>
              <w14:schemeClr w14:val="tx1"/>
            </w14:solidFill>
          </w14:textFill>
        </w:rPr>
        <w:t>向甲方移交加盖公章的债权档案清单及债权档案资料（复印件或扫描件）。</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8.3 在委托代理期限届满、委托处置事项已完成等情况下发生协议终止的，受托方自本协议终止之日起的90日内将</w:t>
      </w:r>
      <w:r>
        <w:rPr>
          <w:rFonts w:hint="eastAsia" w:ascii="宋体" w:hAnsi="宋体"/>
          <w:bCs/>
          <w:color w:val="000000" w:themeColor="text1"/>
          <w:sz w:val="28"/>
          <w:szCs w:val="28"/>
          <w:lang w:bidi="ar"/>
          <w14:textFill>
            <w14:solidFill>
              <w14:schemeClr w14:val="tx1"/>
            </w14:solidFill>
          </w14:textFill>
        </w:rPr>
        <w:t>8.2条所含的资产文件及委托代理期间新增的债权资料文件交割至甲方</w:t>
      </w:r>
      <w:r>
        <w:rPr>
          <w:rFonts w:hint="eastAsia" w:ascii="宋体" w:hAnsi="宋体"/>
          <w:bCs/>
          <w:color w:val="000000" w:themeColor="text1"/>
          <w:sz w:val="28"/>
          <w:szCs w:val="28"/>
          <w14:textFill>
            <w14:solidFill>
              <w14:schemeClr w14:val="tx1"/>
            </w14:solidFill>
          </w14:textFill>
        </w:rPr>
        <w:t>。</w:t>
      </w:r>
      <w:r>
        <w:rPr>
          <w:rFonts w:hint="eastAsia" w:ascii="宋体" w:hAnsi="宋体" w:cs="宋体"/>
          <w:sz w:val="24"/>
          <w:lang w:bidi="ar"/>
        </w:rPr>
        <w:br w:type="textWrapping"/>
      </w:r>
      <w:r>
        <w:rPr>
          <w:rFonts w:hint="eastAsia" w:ascii="宋体" w:hAnsi="宋体" w:cs="宋体"/>
          <w:sz w:val="24"/>
          <w:lang w:val="en-US" w:eastAsia="zh-CN" w:bidi="ar"/>
        </w:rPr>
        <w:t xml:space="preserve">    </w:t>
      </w:r>
      <w:r>
        <w:rPr>
          <w:rFonts w:ascii="宋体" w:hAnsi="宋体"/>
          <w:bCs/>
          <w:color w:val="000000" w:themeColor="text1"/>
          <w:sz w:val="28"/>
          <w:szCs w:val="28"/>
          <w14:textFill>
            <w14:solidFill>
              <w14:schemeClr w14:val="tx1"/>
            </w14:solidFill>
          </w14:textFill>
        </w:rPr>
        <w:t xml:space="preserve">8.4  </w:t>
      </w:r>
      <w:r>
        <w:rPr>
          <w:rFonts w:hint="eastAsia" w:ascii="宋体" w:hAnsi="宋体"/>
          <w:bCs/>
          <w:color w:val="000000" w:themeColor="text1"/>
          <w:sz w:val="28"/>
          <w:szCs w:val="28"/>
          <w14:textFill>
            <w14:solidFill>
              <w14:schemeClr w14:val="tx1"/>
            </w14:solidFill>
          </w14:textFill>
        </w:rPr>
        <w:t>甲方</w:t>
      </w:r>
      <w:r>
        <w:rPr>
          <w:rFonts w:ascii="宋体" w:hAnsi="宋体"/>
          <w:bCs/>
          <w:color w:val="000000" w:themeColor="text1"/>
          <w:sz w:val="28"/>
          <w:szCs w:val="28"/>
          <w14:textFill>
            <w14:solidFill>
              <w14:schemeClr w14:val="tx1"/>
            </w14:solidFill>
          </w14:textFill>
        </w:rPr>
        <w:t>应当事先向</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提交负责接收标的资产的</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方指定人员的身份证明和加盖公章的授权委托书，经</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审核同意后在各方协商一致的时间进行交割，但该时间最晚不得迟于第8.3条约定的期限。如因</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方延迟提交上述文件或者不配合导致交割工作延迟完成的，相关损失和责任由</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方自负。</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.5  根据第</w:t>
      </w: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.3条确定的交割时间，</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按照本协议约定向</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方移交相关资产文件。</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方指定人员在</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人员的带领下，在</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指定地点共同核对并交割资产文件。资产文件的交割完成以各方授权代表签署完毕有关资产文件的书面交接文件的时间为准，各方签署的书面交接文件应载明资产文件移交的时间、地点、</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移交的文件之名称和数量。</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.6  如因</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方的原因未能在第</w:t>
      </w: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.3条约定的期限内完成交割的，则第</w:t>
      </w: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.3条约定的最后一日即视为交割完毕；</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方自行承担未按时接受资产文件而发生的一切风险及损失。</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.6  各方同意，</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向</w:t>
      </w:r>
      <w:r>
        <w:rPr>
          <w:rFonts w:hint="eastAsia" w:ascii="宋体" w:hAnsi="宋体"/>
          <w:bCs/>
          <w:color w:val="000000" w:themeColor="text1"/>
          <w:sz w:val="28"/>
          <w:szCs w:val="28"/>
          <w14:textFill>
            <w14:solidFill>
              <w14:schemeClr w14:val="tx1"/>
            </w14:solidFill>
          </w14:textFill>
        </w:rPr>
        <w:t>甲</w:t>
      </w:r>
      <w:r>
        <w:rPr>
          <w:rFonts w:ascii="宋体" w:hAnsi="宋体"/>
          <w:bCs/>
          <w:color w:val="000000" w:themeColor="text1"/>
          <w:sz w:val="28"/>
          <w:szCs w:val="28"/>
          <w14:textFill>
            <w14:solidFill>
              <w14:schemeClr w14:val="tx1"/>
            </w14:solidFill>
          </w14:textFill>
        </w:rPr>
        <w:t>方交割的资产文件仅限于</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确认和行使标的资产相关的法律文件，包括但不限于标的资产有关的协议、合同、权利凭证及</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在对标的资产管理和处置过程中所获得或持有的与标的资产有关的法律文件（</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不保证持有该等文件的原件）</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8</w:t>
      </w:r>
      <w:r>
        <w:rPr>
          <w:rFonts w:ascii="宋体" w:hAnsi="宋体"/>
          <w:bCs/>
          <w:color w:val="000000" w:themeColor="text1"/>
          <w:sz w:val="28"/>
          <w:szCs w:val="28"/>
          <w14:textFill>
            <w14:solidFill>
              <w14:schemeClr w14:val="tx1"/>
            </w14:solidFill>
          </w14:textFill>
        </w:rPr>
        <w:t>.7  甲方同意，交割完成后，</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及</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聘用的中介机构因工作需要到甲方抽查及审阅</w:t>
      </w:r>
      <w:r>
        <w:rPr>
          <w:rFonts w:hint="eastAsia" w:ascii="宋体" w:hAnsi="宋体"/>
          <w:bCs/>
          <w:color w:val="000000" w:themeColor="text1"/>
          <w:sz w:val="28"/>
          <w:szCs w:val="28"/>
          <w14:textFill>
            <w14:solidFill>
              <w14:schemeClr w14:val="tx1"/>
            </w14:solidFill>
          </w14:textFill>
        </w:rPr>
        <w:t>受托方</w:t>
      </w:r>
      <w:r>
        <w:rPr>
          <w:rFonts w:ascii="宋体" w:hAnsi="宋体"/>
          <w:bCs/>
          <w:color w:val="000000" w:themeColor="text1"/>
          <w:sz w:val="28"/>
          <w:szCs w:val="28"/>
          <w14:textFill>
            <w14:solidFill>
              <w14:schemeClr w14:val="tx1"/>
            </w14:solidFill>
          </w14:textFill>
        </w:rPr>
        <w:t>移交给甲方的档案资料的，甲方应当积极配合安排。</w:t>
      </w:r>
    </w:p>
    <w:p>
      <w:pPr>
        <w:spacing w:line="520" w:lineRule="exact"/>
        <w:ind w:firstLine="562" w:firstLineChars="200"/>
        <w:rPr>
          <w:rFonts w:ascii="宋体" w:hAnsi="宋体"/>
          <w:b/>
          <w:bCs/>
          <w:color w:val="000000" w:themeColor="text1"/>
          <w:sz w:val="28"/>
          <w:szCs w:val="28"/>
          <w14:textFill>
            <w14:solidFill>
              <w14:schemeClr w14:val="tx1"/>
            </w14:solidFill>
          </w14:textFill>
        </w:rPr>
      </w:pPr>
    </w:p>
    <w:p>
      <w:pPr>
        <w:pStyle w:val="5"/>
        <w:ind w:firstLine="562" w:firstLineChars="200"/>
        <w:rPr>
          <w:rFonts w:ascii="宋体" w:hAnsi="宋体" w:eastAsia="宋体"/>
          <w:b/>
          <w:bCs/>
          <w:color w:val="000000" w:themeColor="text1"/>
          <w:kern w:val="2"/>
          <w:sz w:val="28"/>
          <w:szCs w:val="28"/>
          <w:lang w:eastAsia="zh-CN"/>
          <w14:textFill>
            <w14:solidFill>
              <w14:schemeClr w14:val="tx1"/>
            </w14:solidFill>
          </w14:textFill>
        </w:rPr>
      </w:pPr>
      <w:r>
        <w:rPr>
          <w:rFonts w:hint="eastAsia" w:ascii="宋体" w:hAnsi="宋体" w:eastAsia="宋体"/>
          <w:b/>
          <w:bCs/>
          <w:color w:val="000000" w:themeColor="text1"/>
          <w:kern w:val="2"/>
          <w:sz w:val="28"/>
          <w:szCs w:val="28"/>
          <w:lang w:eastAsia="zh-CN"/>
          <w14:textFill>
            <w14:solidFill>
              <w14:schemeClr w14:val="tx1"/>
            </w14:solidFill>
          </w14:textFill>
        </w:rPr>
        <w:t>第九条 主体及权属变更</w:t>
      </w:r>
    </w:p>
    <w:p>
      <w:pPr>
        <w:pStyle w:val="27"/>
        <w:widowControl w:val="0"/>
        <w:spacing w:line="560" w:lineRule="exact"/>
        <w:ind w:firstLine="560" w:firstLineChars="200"/>
      </w:pPr>
      <w:r>
        <w:rPr>
          <w:rFonts w:hint="eastAsia" w:asciiTheme="minorEastAsia" w:hAnsiTheme="minorEastAsia" w:eastAsiaTheme="minorEastAsia"/>
          <w:color w:val="000000" w:themeColor="text1"/>
          <w:sz w:val="28"/>
          <w:szCs w:val="28"/>
          <w14:textFill>
            <w14:solidFill>
              <w14:schemeClr w14:val="tx1"/>
            </w14:solidFill>
          </w14:textFill>
        </w:rPr>
        <w:t>9.1 转让前标的资产诉讼主体、执行主体为</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的，转让后及受托处置期间不做变更，仍由</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作为主体参与诉讼、执行程序，双方确认甲方对标的资产享有完整的、全部的所有权及权益。</w:t>
      </w:r>
    </w:p>
    <w:p>
      <w:pPr>
        <w:pStyle w:val="27"/>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 发生委托代理期限届满、委托处置事项已完成等协议终止情况的，若标的资产需要变更诉讼主体、执行主体、标的资产权属或办理其他法律手续的，甲方负责于协议终止之日起六个月内完成该等变更或其他手续；甲方就此要求</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协助的，应在上述期限内向</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提出；</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将根据相关规定，予以积极配合并提供必要协助。尽管有上述规定，</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不承担实现上述变更或完成手续的责任。</w:t>
      </w:r>
    </w:p>
    <w:p>
      <w:pPr>
        <w:pStyle w:val="27"/>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若因甲方原因未于第9.</w:t>
      </w:r>
      <w:r>
        <w:rPr>
          <w:rFonts w:asciiTheme="minorEastAsia" w:hAnsiTheme="minorEastAsia" w:eastAsiaTheme="minorEastAsia"/>
          <w:color w:val="000000" w:themeColor="text1"/>
          <w:sz w:val="28"/>
          <w:szCs w:val="28"/>
          <w14:textFill>
            <w14:solidFill>
              <w14:schemeClr w14:val="tx1"/>
            </w14:solidFill>
          </w14:textFill>
        </w:rPr>
        <w:t>2条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继续被告知应参与相关诉讼程序的，</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有权选择放弃参与相关诉讼程序。</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放弃参与相关诉讼程序且因此影响甲方行使相关诉讼权利的，</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不承担任何责任。</w:t>
      </w:r>
    </w:p>
    <w:p>
      <w:pPr>
        <w:pStyle w:val="27"/>
        <w:widowControl w:val="0"/>
        <w:spacing w:line="560" w:lineRule="exact"/>
        <w:ind w:firstLine="420" w:firstLineChars="15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若因不可抗力</w:t>
      </w:r>
      <w:r>
        <w:rPr>
          <w:rFonts w:hint="eastAsia" w:ascii="宋体" w:hAnsi="宋体"/>
          <w:sz w:val="28"/>
          <w:szCs w:val="28"/>
        </w:rPr>
        <w:t>或司法机关、破产债务人管理人</w:t>
      </w:r>
      <w:r>
        <w:rPr>
          <w:rFonts w:hint="eastAsia" w:asciiTheme="minorEastAsia" w:hAnsiTheme="minorEastAsia" w:eastAsiaTheme="minorEastAsia"/>
          <w:color w:val="000000" w:themeColor="text1"/>
          <w:sz w:val="28"/>
          <w:szCs w:val="28"/>
          <w14:textFill>
            <w14:solidFill>
              <w14:schemeClr w14:val="tx1"/>
            </w14:solidFill>
          </w14:textFill>
        </w:rPr>
        <w:t>导致未于第9.</w:t>
      </w:r>
      <w:r>
        <w:rPr>
          <w:rFonts w:asciiTheme="minorEastAsia" w:hAnsiTheme="minorEastAsia" w:eastAsiaTheme="minorEastAsia"/>
          <w:color w:val="000000" w:themeColor="text1"/>
          <w:sz w:val="28"/>
          <w:szCs w:val="28"/>
          <w14:textFill>
            <w14:solidFill>
              <w14:schemeClr w14:val="tx1"/>
            </w14:solidFill>
          </w14:textFill>
        </w:rPr>
        <w:t>2条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继续被告知应参与相关诉讼程序的</w:t>
      </w:r>
      <w:r>
        <w:rPr>
          <w:rFonts w:hint="eastAsia" w:ascii="宋体" w:hAnsi="宋体"/>
          <w:sz w:val="28"/>
          <w:szCs w:val="28"/>
        </w:rPr>
        <w:t>，</w:t>
      </w:r>
      <w:r>
        <w:rPr>
          <w:rFonts w:hint="eastAsia" w:asciiTheme="minorEastAsia" w:hAnsiTheme="minorEastAsia" w:eastAsiaTheme="minorEastAsia"/>
          <w:color w:val="000000" w:themeColor="text1"/>
          <w:sz w:val="28"/>
          <w:szCs w:val="28"/>
          <w14:textFill>
            <w14:solidFill>
              <w14:schemeClr w14:val="tx1"/>
            </w14:solidFill>
          </w14:textFill>
        </w:rPr>
        <w:t>甲</w:t>
      </w:r>
      <w:r>
        <w:rPr>
          <w:rFonts w:hint="eastAsia" w:ascii="宋体" w:hAnsi="宋体"/>
          <w:sz w:val="28"/>
          <w:szCs w:val="28"/>
        </w:rPr>
        <w:t>方应当及时以书面形式告知</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受托方</w:t>
      </w:r>
      <w:r>
        <w:rPr>
          <w:rFonts w:hint="eastAsia" w:asciiTheme="minorEastAsia" w:hAnsiTheme="minorEastAsia" w:eastAsiaTheme="minorEastAsia"/>
          <w:color w:val="000000" w:themeColor="text1"/>
          <w:sz w:val="28"/>
          <w:szCs w:val="28"/>
          <w14:textFill>
            <w14:solidFill>
              <w14:schemeClr w14:val="tx1"/>
            </w14:solidFill>
          </w14:textFill>
        </w:rPr>
        <w:t>继续配合甲方履行相关诉讼程序。</w:t>
      </w:r>
    </w:p>
    <w:p>
      <w:pPr>
        <w:pStyle w:val="5"/>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第十条 违约责任</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10.1任何一方违反本协议约定，或拒不履行其在本协议约定的义务及其他事项，即构成违约。违约一方应向其他各方承担违约责任。</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10.2 甲方在本协议生效后撤销委托、收回处置权、或违反本协议第2.5、2.6、7.1条之约定，除本协议另有约定外，如给乙方造成损失的，应赔偿相应损失。</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3 受托方</w:t>
      </w:r>
      <w:r>
        <w:rPr>
          <w:rFonts w:ascii="宋体" w:hAnsi="宋体"/>
          <w:bCs/>
          <w:color w:val="000000" w:themeColor="text1"/>
          <w:sz w:val="28"/>
          <w:szCs w:val="28"/>
          <w14:textFill>
            <w14:solidFill>
              <w14:schemeClr w14:val="tx1"/>
            </w14:solidFill>
          </w14:textFill>
        </w:rPr>
        <w:t>违反本协议相关规定，</w:t>
      </w:r>
      <w:r>
        <w:rPr>
          <w:rFonts w:hint="eastAsia" w:ascii="宋体" w:hAnsi="宋体"/>
          <w:bCs/>
          <w:color w:val="000000" w:themeColor="text1"/>
          <w:sz w:val="28"/>
          <w:szCs w:val="28"/>
          <w14:textFill>
            <w14:solidFill>
              <w14:schemeClr w14:val="tx1"/>
            </w14:solidFill>
          </w14:textFill>
        </w:rPr>
        <w:t>如给甲方造成损失的，应赔偿相应损失。</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第十一条 协议的生效、变更与终止</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11.1</w:t>
      </w:r>
      <w:r>
        <w:rPr>
          <w:rFonts w:hint="eastAsia" w:asciiTheme="minorEastAsia" w:hAnsiTheme="minorEastAsia" w:eastAsiaTheme="minorEastAsia" w:cstheme="minorEastAsia"/>
          <w:color w:val="000000" w:themeColor="text1"/>
          <w:sz w:val="28"/>
          <w:szCs w:val="28"/>
          <w14:textFill>
            <w14:solidFill>
              <w14:schemeClr w14:val="tx1"/>
            </w14:solidFill>
          </w14:textFill>
        </w:rPr>
        <w:t>本协议自甲乙双方有权签字人签名或盖章并加盖公章后生效</w:t>
      </w:r>
      <w:r>
        <w:rPr>
          <w:rFonts w:hint="eastAsia" w:ascii="宋体" w:hAnsi="宋体"/>
          <w:bCs/>
          <w:color w:val="000000" w:themeColor="text1"/>
          <w:sz w:val="28"/>
          <w:szCs w:val="28"/>
          <w14:textFill>
            <w14:solidFill>
              <w14:schemeClr w14:val="tx1"/>
            </w14:solidFill>
          </w14:textFill>
        </w:rPr>
        <w:t>。</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11.2 有下列情形之一可以修改协议：</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（1）一方提出修改协议的建议，其他各方书面同意的；</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（2）因发生不可抗力的事件，经各方书面协商同意的。</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11.3 出现下列情况之一时本协议终止：</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（1）委托代理期限届满，各方未能重新签订《补充协议》延长本协议的委托代理期限；</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（2）委托处置事项已完成；</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（3）各方同意终止；</w:t>
      </w:r>
    </w:p>
    <w:p>
      <w:pPr>
        <w:spacing w:line="520" w:lineRule="exact"/>
        <w:ind w:firstLine="420" w:firstLineChars="15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（4）因发生不可抗力的事件，各方协议终止。</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11.4 变更本协议和根据11.3第（2）、（3）、（4）项情形终止本协议必须以书面形式进行，经合同签署方有权签字人签名并加盖公章后生效；协议终止，协议项下的各方权利、义务亦终止。</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第十二条 法律适用和争议解决</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12.1 本协议的订立、生效、解释和履行适用中国现行的有关法律、法规。</w:t>
      </w:r>
    </w:p>
    <w:p>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12.2 本协议履行发生的任何争议，不能通过协商方式解决的，任何一方均有权向</w:t>
      </w:r>
      <w:r>
        <w:rPr>
          <w:rFonts w:ascii="宋体" w:hAnsi="宋体"/>
          <w:bCs/>
          <w:color w:val="000000" w:themeColor="text1"/>
          <w:sz w:val="28"/>
          <w:szCs w:val="28"/>
          <w14:textFill>
            <w14:solidFill>
              <w14:schemeClr w14:val="tx1"/>
            </w14:solidFill>
          </w14:textFill>
        </w:rPr>
        <w:t>乙方所在地</w:t>
      </w:r>
      <w:r>
        <w:rPr>
          <w:rFonts w:hint="eastAsia" w:ascii="宋体" w:hAnsi="宋体"/>
          <w:bCs/>
          <w:color w:val="000000" w:themeColor="text1"/>
          <w:sz w:val="28"/>
          <w:szCs w:val="28"/>
          <w14:textFill>
            <w14:solidFill>
              <w14:schemeClr w14:val="tx1"/>
            </w14:solidFill>
          </w14:textFill>
        </w:rPr>
        <w:t>人民法院提起诉讼。</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51" w:firstLineChars="196"/>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第十三条  通知与送达</w:t>
      </w:r>
    </w:p>
    <w:p>
      <w:pPr>
        <w:spacing w:line="52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13.1  本协议约定的以下送达地址适用于本协议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2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（1）甲方确认其有效的送达地址为：(名称、地址、邮编、联系人、联系电话、电子邮箱)</w:t>
      </w:r>
    </w:p>
    <w:p>
      <w:pPr>
        <w:spacing w:line="560" w:lineRule="exact"/>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名称：</w:t>
      </w:r>
    </w:p>
    <w:p>
      <w:pPr>
        <w:spacing w:line="560" w:lineRule="exact"/>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地址：</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val="single"/>
          <w:lang w:val="en-US" w:eastAsia="zh-CN"/>
          <w14:textFill>
            <w14:solidFill>
              <w14:schemeClr w14:val="tx1"/>
            </w14:solidFill>
          </w14:textFill>
        </w:rPr>
        <w:t>电子邮箱</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2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受托方</w:t>
      </w:r>
      <w:r>
        <w:rPr>
          <w:rFonts w:hint="eastAsia" w:ascii="宋体" w:hAnsi="宋体"/>
          <w:b/>
          <w:color w:val="000000" w:themeColor="text1"/>
          <w:w w:val="80"/>
          <w:sz w:val="28"/>
          <w:szCs w:val="28"/>
          <w14:textFill>
            <w14:solidFill>
              <w14:schemeClr w14:val="tx1"/>
            </w14:solidFill>
          </w14:textFill>
        </w:rPr>
        <w:t>确认其有效的送达地址为：(名称、地址、邮编、联系人、联系电话、电子邮箱)</w:t>
      </w:r>
    </w:p>
    <w:p>
      <w:pPr>
        <w:spacing w:line="520" w:lineRule="exac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2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13.2  一方需变更本协议确认的送达地址的，应及时通过邮寄方式(快递或EMS)通知协议其他各方；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2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13.3  一方按第13.2条所述方式履行变更通知义务后，以其变更后的送达地址为有效送达地址，否则本协议确认的送达地址仍为有效送达地址。</w:t>
      </w:r>
    </w:p>
    <w:p>
      <w:pPr>
        <w:spacing w:line="520" w:lineRule="exact"/>
        <w:ind w:firstLine="56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13.4  除本协议另有约定外，一方发送的通知在发生下列事件时被视为有效送达：</w:t>
      </w:r>
    </w:p>
    <w:p>
      <w:pPr>
        <w:spacing w:line="520" w:lineRule="exact"/>
        <w:ind w:firstLine="56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13.4.1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pPr>
        <w:spacing w:line="520" w:lineRule="exact"/>
        <w:ind w:firstLine="56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13.4.2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pPr>
        <w:spacing w:line="520" w:lineRule="exact"/>
        <w:ind w:firstLine="56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13.4.3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pPr>
        <w:spacing w:line="52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13.5  因任何一方提供或确认的地址不准确、送达地址变更后未及时按第13.2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2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13.6  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第十四条 </w:t>
      </w:r>
      <w:r>
        <w:rPr>
          <w:rFonts w:hint="eastAsia" w:ascii="宋体" w:hAnsi="宋体"/>
          <w:bCs/>
          <w:color w:val="000000" w:themeColor="text1"/>
          <w:sz w:val="28"/>
          <w:szCs w:val="28"/>
          <w14:textFill>
            <w14:solidFill>
              <w14:schemeClr w14:val="tx1"/>
            </w14:solidFill>
          </w14:textFill>
        </w:rPr>
        <w:t xml:space="preserve"> 除非本协议另有规定，本协议项下要求的或允许的所有通知应以书面形式做出。 </w:t>
      </w:r>
    </w:p>
    <w:p>
      <w:pPr>
        <w:spacing w:line="40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w:t>
      </w:r>
      <w:r>
        <w:rPr>
          <w:rFonts w:hint="eastAsia" w:ascii="宋体" w:hAnsi="宋体"/>
          <w:b/>
          <w:color w:val="000000" w:themeColor="text1"/>
          <w:sz w:val="28"/>
          <w:szCs w:val="28"/>
          <w14:textFill>
            <w14:solidFill>
              <w14:schemeClr w14:val="tx1"/>
            </w14:solidFill>
          </w14:textFill>
        </w:rPr>
        <w:t>五</w:t>
      </w:r>
      <w:r>
        <w:rPr>
          <w:rFonts w:hint="eastAsia" w:ascii="宋体" w:hAnsi="宋体"/>
          <w:b/>
          <w:bCs/>
          <w:color w:val="000000" w:themeColor="text1"/>
          <w:sz w:val="28"/>
          <w:szCs w:val="28"/>
          <w14:textFill>
            <w14:solidFill>
              <w14:schemeClr w14:val="tx1"/>
            </w14:solidFill>
          </w14:textFill>
        </w:rPr>
        <w:t>条</w:t>
      </w:r>
      <w:r>
        <w:rPr>
          <w:rFonts w:hint="eastAsia" w:ascii="宋体" w:hAnsi="宋体"/>
          <w:bCs/>
          <w:color w:val="000000" w:themeColor="text1"/>
          <w:sz w:val="28"/>
          <w:szCs w:val="28"/>
          <w14:textFill>
            <w14:solidFill>
              <w14:schemeClr w14:val="tx1"/>
            </w14:solidFill>
          </w14:textFill>
        </w:rPr>
        <w:t xml:space="preserve">  本协议未尽事宜，经各方协商一致，可签订补充协议。本协议一式[</w:t>
      </w:r>
      <w:r>
        <w:rPr>
          <w:rFonts w:hint="eastAsia" w:ascii="宋体" w:hAnsi="宋体"/>
          <w:bCs/>
          <w:color w:val="000000" w:themeColor="text1"/>
          <w:sz w:val="28"/>
          <w:szCs w:val="28"/>
          <w:lang w:val="en-US" w:eastAsia="zh-CN"/>
          <w14:textFill>
            <w14:solidFill>
              <w14:schemeClr w14:val="tx1"/>
            </w14:solidFill>
          </w14:textFill>
        </w:rPr>
        <w:t>陆</w:t>
      </w:r>
      <w:r>
        <w:rPr>
          <w:rFonts w:hint="eastAsia" w:ascii="宋体" w:hAnsi="宋体"/>
          <w:bCs/>
          <w:color w:val="000000" w:themeColor="text1"/>
          <w:sz w:val="28"/>
          <w:szCs w:val="28"/>
          <w14:textFill>
            <w14:solidFill>
              <w14:schemeClr w14:val="tx1"/>
            </w14:solidFill>
          </w14:textFill>
        </w:rPr>
        <w:t>]份，各方各执[</w:t>
      </w:r>
      <w:r>
        <w:rPr>
          <w:rFonts w:hint="eastAsia" w:ascii="宋体" w:hAnsi="宋体"/>
          <w:bCs/>
          <w:color w:val="000000" w:themeColor="text1"/>
          <w:sz w:val="28"/>
          <w:szCs w:val="28"/>
          <w:lang w:val="en-US" w:eastAsia="zh-CN"/>
          <w14:textFill>
            <w14:solidFill>
              <w14:schemeClr w14:val="tx1"/>
            </w14:solidFill>
          </w14:textFill>
        </w:rPr>
        <w:t>叁</w:t>
      </w:r>
      <w:r>
        <w:rPr>
          <w:rFonts w:hint="eastAsia" w:ascii="宋体" w:hAnsi="宋体"/>
          <w:bCs/>
          <w:color w:val="000000" w:themeColor="text1"/>
          <w:sz w:val="28"/>
          <w:szCs w:val="28"/>
          <w14:textFill>
            <w14:solidFill>
              <w14:schemeClr w14:val="tx1"/>
            </w14:solidFill>
          </w14:textFill>
        </w:rPr>
        <w:t>]份，具有同等法律效力。</w:t>
      </w:r>
    </w:p>
    <w:p>
      <w:pPr>
        <w:spacing w:line="520" w:lineRule="exact"/>
        <w:ind w:firstLine="560" w:firstLineChars="200"/>
        <w:rPr>
          <w:rFonts w:ascii="宋体" w:hAnsi="宋体"/>
          <w:bCs/>
          <w:color w:val="000000" w:themeColor="text1"/>
          <w:sz w:val="28"/>
          <w:szCs w:val="28"/>
          <w14:textFill>
            <w14:solidFill>
              <w14:schemeClr w14:val="tx1"/>
            </w14:solidFill>
          </w14:textFill>
        </w:rPr>
      </w:pPr>
    </w:p>
    <w:p>
      <w:pPr>
        <w:spacing w:line="52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第十六条</w:t>
      </w:r>
      <w:r>
        <w:rPr>
          <w:rFonts w:hint="eastAsia" w:ascii="宋体" w:hAnsi="宋体"/>
          <w:bCs/>
          <w:color w:val="000000" w:themeColor="text1"/>
          <w:sz w:val="28"/>
          <w:szCs w:val="28"/>
          <w14:textFill>
            <w14:solidFill>
              <w14:schemeClr w14:val="tx1"/>
            </w14:solidFill>
          </w14:textFill>
        </w:rPr>
        <w:t xml:space="preserve">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spacing w:line="520" w:lineRule="exact"/>
        <w:ind w:firstLine="562" w:firstLineChars="20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第十七条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w:t>
      </w:r>
      <w:r>
        <w:rPr>
          <w:rFonts w:hint="eastAsia" w:ascii="宋体" w:hAnsi="宋体"/>
          <w:b/>
          <w:color w:val="000000" w:themeColor="text1"/>
          <w:sz w:val="28"/>
          <w:szCs w:val="28"/>
          <w14:textFill>
            <w14:solidFill>
              <w14:schemeClr w14:val="tx1"/>
            </w14:solidFill>
          </w14:textFill>
        </w:rPr>
        <w:t>各</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方进行了充分协商，协议各方对协议各条款的内容（包括但不限于免除、减轻或加重各方责任、限制各方权利的条款）已完全知晓和理解，各方对本协议所有条款内容的理解不存在异议。</w:t>
      </w:r>
    </w:p>
    <w:p>
      <w:pPr>
        <w:pStyle w:val="5"/>
        <w:spacing w:line="520" w:lineRule="exact"/>
        <w:ind w:firstLine="440" w:firstLineChars="200"/>
        <w:rPr>
          <w:rFonts w:ascii="宋体" w:hAnsi="宋体" w:eastAsiaTheme="minorEastAsia"/>
          <w:bCs/>
          <w:color w:val="000000" w:themeColor="text1"/>
          <w:sz w:val="28"/>
          <w:szCs w:val="28"/>
          <w14:textFill>
            <w14:solidFill>
              <w14:schemeClr w14:val="tx1"/>
            </w14:solidFill>
          </w14:textFill>
        </w:rPr>
      </w:pPr>
      <w:r>
        <w:rPr>
          <w:rFonts w:hint="eastAsia" w:eastAsiaTheme="minorEastAsia"/>
          <w:lang w:eastAsia="zh-CN"/>
        </w:rPr>
        <w:t xml:space="preserve"> </w:t>
      </w:r>
      <w:r>
        <w:rPr>
          <w:rFonts w:eastAsiaTheme="minorEastAsia"/>
          <w:lang w:eastAsia="zh-CN"/>
        </w:rPr>
        <w:t xml:space="preserve">   </w:t>
      </w:r>
    </w:p>
    <w:p>
      <w:pPr>
        <w:spacing w:line="520" w:lineRule="exact"/>
        <w:ind w:firstLine="280" w:firstLineChars="10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（以下无正文）</w:t>
      </w:r>
    </w:p>
    <w:p>
      <w:pPr>
        <w:spacing w:line="360" w:lineRule="auto"/>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spacing w:line="520" w:lineRule="exact"/>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甲方（委托方）：                           </w:t>
      </w: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（盖章）</w:t>
      </w: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w:t>
      </w: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或授权代理人（签名）：   </w:t>
      </w: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w:t>
      </w: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（盖章）</w:t>
      </w:r>
    </w:p>
    <w:p>
      <w:pPr>
        <w:spacing w:line="520" w:lineRule="exact"/>
        <w:ind w:firstLine="420"/>
        <w:rPr>
          <w:rFonts w:ascii="宋体" w:hAnsi="宋体"/>
          <w:color w:val="000000" w:themeColor="text1"/>
          <w:sz w:val="28"/>
          <w:szCs w:val="28"/>
          <w14:textFill>
            <w14:solidFill>
              <w14:schemeClr w14:val="tx1"/>
            </w14:solidFill>
          </w14:textFill>
        </w:rPr>
      </w:pPr>
    </w:p>
    <w:p>
      <w:pPr>
        <w:spacing w:line="520" w:lineRule="exact"/>
        <w:ind w:firstLine="42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或授权代理人（签名）：</w:t>
      </w:r>
    </w:p>
    <w:p>
      <w:pPr>
        <w:spacing w:line="520" w:lineRule="exact"/>
        <w:rPr>
          <w:rFonts w:ascii="宋体" w:hAnsi="宋体"/>
          <w:color w:val="000000" w:themeColor="text1"/>
          <w:sz w:val="28"/>
          <w:szCs w:val="28"/>
          <w14:textFill>
            <w14:solidFill>
              <w14:schemeClr w14:val="tx1"/>
            </w14:solidFill>
          </w14:textFill>
        </w:rPr>
      </w:pPr>
    </w:p>
    <w:p>
      <w:pPr>
        <w:spacing w:line="520" w:lineRule="exact"/>
        <w:rPr>
          <w:rFonts w:ascii="宋体" w:hAnsi="宋体"/>
          <w:color w:val="000000" w:themeColor="text1"/>
          <w:sz w:val="28"/>
          <w:szCs w:val="28"/>
          <w14:textFill>
            <w14:solidFill>
              <w14:schemeClr w14:val="tx1"/>
            </w14:solidFill>
          </w14:textFill>
        </w:rPr>
      </w:pPr>
    </w:p>
    <w:p>
      <w:pPr>
        <w:spacing w:line="520" w:lineRule="exact"/>
        <w:rPr>
          <w:rFonts w:ascii="宋体" w:hAnsi="宋体"/>
          <w:color w:val="000000" w:themeColor="text1"/>
          <w:sz w:val="28"/>
          <w:szCs w:val="28"/>
          <w14:textFill>
            <w14:solidFill>
              <w14:schemeClr w14:val="tx1"/>
            </w14:solidFill>
          </w14:textFill>
        </w:rPr>
      </w:pPr>
    </w:p>
    <w:p>
      <w:pPr>
        <w:spacing w:line="520" w:lineRule="exact"/>
        <w:rPr>
          <w:rFonts w:ascii="宋体" w:hAnsi="宋体"/>
          <w:color w:val="000000" w:themeColor="text1"/>
          <w:sz w:val="28"/>
          <w:szCs w:val="28"/>
          <w14:textFill>
            <w14:solidFill>
              <w14:schemeClr w14:val="tx1"/>
            </w14:solidFill>
          </w14:textFill>
        </w:rPr>
      </w:pPr>
    </w:p>
    <w:p>
      <w:pPr>
        <w:spacing w:line="520" w:lineRule="exact"/>
        <w:rPr>
          <w:rFonts w:ascii="宋体" w:hAnsi="宋体"/>
          <w:color w:val="000000" w:themeColor="text1"/>
          <w:sz w:val="28"/>
          <w:szCs w:val="28"/>
          <w14:textFill>
            <w14:solidFill>
              <w14:schemeClr w14:val="tx1"/>
            </w14:solidFill>
          </w14:textFill>
        </w:rPr>
      </w:pPr>
    </w:p>
    <w:p>
      <w:pPr>
        <w:pStyle w:val="5"/>
        <w:rPr>
          <w:rFonts w:ascii="宋体" w:hAnsi="宋体"/>
          <w:color w:val="000000" w:themeColor="text1"/>
          <w:sz w:val="28"/>
          <w:szCs w:val="28"/>
          <w14:textFill>
            <w14:solidFill>
              <w14:schemeClr w14:val="tx1"/>
            </w14:solidFill>
          </w14:textFill>
        </w:rPr>
      </w:pPr>
    </w:p>
    <w:p>
      <w:pPr>
        <w:pStyle w:val="5"/>
        <w:rPr>
          <w:rFonts w:ascii="宋体" w:hAnsi="宋体"/>
          <w:color w:val="000000" w:themeColor="text1"/>
          <w:sz w:val="28"/>
          <w:szCs w:val="28"/>
          <w14:textFill>
            <w14:solidFill>
              <w14:schemeClr w14:val="tx1"/>
            </w14:solidFill>
          </w14:textFill>
        </w:rPr>
      </w:pPr>
    </w:p>
    <w:p>
      <w:pPr>
        <w:pStyle w:val="5"/>
        <w:ind w:left="0" w:leftChars="0" w:firstLine="0" w:firstLineChars="0"/>
        <w:rPr>
          <w:rFonts w:ascii="宋体" w:hAnsi="宋体"/>
          <w:color w:val="000000" w:themeColor="text1"/>
          <w:sz w:val="28"/>
          <w:szCs w:val="28"/>
          <w14:textFill>
            <w14:solidFill>
              <w14:schemeClr w14:val="tx1"/>
            </w14:solidFill>
          </w14:textFill>
        </w:rPr>
      </w:pPr>
    </w:p>
    <w:p>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pPr>
        <w:keepNext/>
        <w:keepLines/>
        <w:widowControl/>
        <w:numPr>
          <w:ilvl w:val="0"/>
          <w:numId w:val="0"/>
        </w:numPr>
        <w:tabs>
          <w:tab w:val="left" w:pos="0"/>
        </w:tabs>
        <w:spacing w:before="0" w:after="0" w:line="560" w:lineRule="exact"/>
        <w:jc w:val="center"/>
        <w:outlineLvl w:val="0"/>
        <w:rPr>
          <w:rFonts w:hint="eastAsia" w:ascii="宋体" w:hAnsi="宋体" w:eastAsia="宋体" w:cs="Times New Roman"/>
          <w:b/>
          <w:caps w:val="0"/>
          <w:color w:val="000000"/>
          <w:kern w:val="2"/>
          <w:sz w:val="28"/>
          <w:szCs w:val="28"/>
          <w:lang w:val="en-US" w:eastAsia="zh-CN" w:bidi="ar-SA"/>
        </w:rPr>
      </w:pPr>
      <w:r>
        <w:rPr>
          <w:rFonts w:hint="eastAsia" w:ascii="宋体" w:hAnsi="宋体" w:eastAsia="宋体" w:cs="Times New Roman"/>
          <w:b/>
          <w:caps w:val="0"/>
          <w:color w:val="000000"/>
          <w:kern w:val="2"/>
          <w:sz w:val="28"/>
          <w:szCs w:val="28"/>
          <w:lang w:val="en-US" w:eastAsia="zh-CN" w:bidi="ar-SA"/>
        </w:rPr>
        <w:t>附件一：标的债权清单</w:t>
      </w:r>
    </w:p>
    <w:p>
      <w:pPr>
        <w:spacing w:line="560" w:lineRule="exact"/>
        <w:ind w:firstLine="422" w:firstLineChars="200"/>
        <w:jc w:val="center"/>
        <w:rPr>
          <w:rFonts w:hint="eastAsia" w:ascii="宋体" w:hAnsi="宋体" w:eastAsia="宋体" w:cs="Times New Roman"/>
          <w:b/>
          <w:caps w:val="0"/>
          <w:color w:val="000000"/>
          <w:kern w:val="2"/>
          <w:sz w:val="21"/>
          <w:szCs w:val="21"/>
          <w:lang w:val="en-US" w:eastAsia="zh-CN" w:bidi="ar-SA"/>
        </w:rPr>
      </w:pPr>
      <w:r>
        <w:rPr>
          <w:rFonts w:hint="eastAsia" w:ascii="宋体" w:hAnsi="宋体" w:eastAsia="宋体" w:cs="Times New Roman"/>
          <w:b/>
          <w:caps w:val="0"/>
          <w:color w:val="000000"/>
          <w:kern w:val="2"/>
          <w:sz w:val="21"/>
          <w:szCs w:val="21"/>
          <w:lang w:val="en-US" w:eastAsia="zh-CN" w:bidi="ar-SA"/>
        </w:rPr>
        <w:t>基准日：2025年9月30日                             金额单位： 人民币 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2"/>
        <w:gridCol w:w="2097"/>
        <w:gridCol w:w="1599"/>
        <w:gridCol w:w="1483"/>
        <w:gridCol w:w="1201"/>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债务人</w:t>
            </w:r>
          </w:p>
        </w:tc>
        <w:tc>
          <w:tcPr>
            <w:tcW w:w="9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本金 </w:t>
            </w:r>
          </w:p>
        </w:tc>
        <w:tc>
          <w:tcPr>
            <w:tcW w:w="8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欠息 </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垫付费用 </w:t>
            </w:r>
          </w:p>
        </w:tc>
        <w:tc>
          <w:tcPr>
            <w:tcW w:w="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债权合计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佐源集团有限公司、库伦旗佐源糖业有限公司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397,980,000.00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739,353,037.78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1,137,333,037.78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盘锦瑞德化工有限公司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111,710,000.00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55,227,361.39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195,941.43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167,133,302.82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丹东市扬声器厂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62,600.00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盘锦瑞德化工有限公司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60,000,000.00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45,996,006.94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78,033.73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106,074,040.67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鞍山市腾鳌特区拨丝弹簧厂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407,700.00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507,700.00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鞍山艾迪奥港烧烤食品有限公司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429,100.00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529,100.00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鞍山市永盛装饰工程公司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203,100.00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253,100.00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鞍山市木材总公司第一分公司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76,400.00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116,400.00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鞍山市人民路加油站</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37,000.00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71,200.00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108,200.00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浙江天盛印染有限公司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4,556,900.00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4,964,700.00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9,521,600.00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绍兴县华苑布业有限公司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3,474,100.00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4,333,300.00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7,807,400.00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嵊峰集团有限公司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15,000,000.00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22,247,800.00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37,247,800.00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天外天伞业有限公司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19,319,700.00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12,067,400.00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31,387,100.00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诸暨市洁美水暖电子设备厂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7,500,000.00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7,421,300.00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14,921,300.00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大连天益玻璃制品有限公司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45,090,000.00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42,775,200.00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290,600.00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88,155,800.00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佐源集团有限公司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293,304,769.88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301,369,633.15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1,574,138.00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596,248,541.03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大连玉洲餐饮有限公司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12,727,293.58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11,888,534.57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54,380.00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24,670,208.15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大连金石高尔夫俱乐部有限公司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105,765,113.09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168,917,471.44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274,682,584.53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丹东新宇造纸机械有限公司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34,575,560.00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14,782,495.86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421,914.00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49,779,969.86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大连昌运燃料有限公司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14,999,990.00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15,514,211.15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63,625.50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30,577,826.65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大连绿珠食品有限公司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6,500,000.00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6,212,279.79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5,600.00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12,717,879.79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营口电力建设有限公司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32,955,800.00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12,621,982.56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60,000.00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45,637,782.56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圣杰慧谷开发建设集团有限公司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29,891,135.65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24,869,837.85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105,046.00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54,866,019.50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营口嘉晟市政工程有限公司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48,772,552.58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57,971,886.69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718,651.00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107,463,090.27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辽宁国华耐火合金有限公司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17,713,867.74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34,285,191.01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51,999,058.75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瓦房店市东瑞储藏有限公司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18,000,000.00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23,520,687.27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72,681.00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41,593,368.27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大连东方油漆厂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3,999,999.00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25,245,946.84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58,502.00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29,304,447.84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9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1,284,193,781.52 </w:t>
            </w:r>
          </w:p>
        </w:tc>
        <w:tc>
          <w:tcPr>
            <w:tcW w:w="8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1,632,836,364.29 </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3,699,112.66 </w:t>
            </w:r>
          </w:p>
        </w:tc>
        <w:tc>
          <w:tcPr>
            <w:tcW w:w="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2,920,729,258.47 </w:t>
            </w:r>
          </w:p>
        </w:tc>
      </w:tr>
    </w:tbl>
    <w:p>
      <w:pPr>
        <w:pStyle w:val="5"/>
        <w:ind w:left="0" w:leftChars="0" w:firstLine="0" w:firstLineChars="0"/>
        <w:rPr>
          <w:rFonts w:hint="eastAsia" w:ascii="宋体" w:hAnsi="宋体" w:eastAsia="宋体" w:cs="Times New Roman"/>
          <w:b/>
          <w:caps w:val="0"/>
          <w:color w:val="000000"/>
          <w:kern w:val="2"/>
          <w:sz w:val="28"/>
          <w:szCs w:val="28"/>
          <w:lang w:val="en-US" w:eastAsia="zh-CN" w:bidi="ar-SA"/>
        </w:rPr>
      </w:pPr>
    </w:p>
    <w:p>
      <w:pPr>
        <w:pStyle w:val="5"/>
        <w:rPr>
          <w:rFonts w:ascii="宋体" w:hAnsi="宋体"/>
          <w:color w:val="000000" w:themeColor="text1"/>
          <w:sz w:val="28"/>
          <w:szCs w:val="28"/>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13008697"/>
    <w:multiLevelType w:val="singleLevel"/>
    <w:tmpl w:val="13008697"/>
    <w:lvl w:ilvl="0" w:tentative="0">
      <w:start w:val="4"/>
      <w:numFmt w:val="chineseCounting"/>
      <w:suff w:val="space"/>
      <w:lvlText w:val="第%1条"/>
      <w:lvlJc w:val="left"/>
      <w:rPr>
        <w:rFonts w:hint="eastAsia"/>
      </w:rPr>
    </w:lvl>
  </w:abstractNum>
  <w:abstractNum w:abstractNumId="2">
    <w:nsid w:val="70AA069B"/>
    <w:multiLevelType w:val="multilevel"/>
    <w:tmpl w:val="70AA069B"/>
    <w:lvl w:ilvl="0" w:tentative="0">
      <w:start w:val="1"/>
      <w:numFmt w:val="decimal"/>
      <w:lvlText w:val="第%1条"/>
      <w:lvlJc w:val="left"/>
      <w:pPr>
        <w:ind w:left="425" w:hanging="425"/>
      </w:pPr>
      <w:rPr>
        <w:rFonts w:hint="default" w:ascii="华文楷体" w:hAnsi="华文楷体" w:eastAsia="华文楷体"/>
      </w:rPr>
    </w:lvl>
    <w:lvl w:ilvl="1" w:tentative="0">
      <w:start w:val="1"/>
      <w:numFmt w:val="decimal"/>
      <w:pStyle w:val="26"/>
      <w:lvlText w:val="%1.%2"/>
      <w:lvlJc w:val="left"/>
      <w:pPr>
        <w:ind w:left="1277" w:hanging="567"/>
      </w:pPr>
      <w:rPr>
        <w:rFonts w:hint="eastAsia"/>
        <w:b w:val="0"/>
        <w:bCs w:val="0"/>
      </w:rPr>
    </w:lvl>
    <w:lvl w:ilvl="2" w:tentative="0">
      <w:start w:val="1"/>
      <w:numFmt w:val="decimal"/>
      <w:pStyle w:val="25"/>
      <w:lvlText w:val="%1.%2.%3"/>
      <w:lvlJc w:val="left"/>
      <w:pPr>
        <w:ind w:left="127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63A513B400001EC8" w:val=" "/>
    <w:docVar w:name="63A5472B0000235A" w:val=" "/>
    <w:docVar w:name="63A5604300004FFB" w:val=" "/>
    <w:docVar w:name="commondata" w:val="eyJoZGlkIjoiN2U3NTgwY2RlNTFlMGM1ZjI0ODhiYzBhMDA2NGYzZTIifQ=="/>
    <w:docVar w:name="KSO_WPS_MARK_KEY" w:val="07cd8e0f-432c-4c7a-95f8-0b6f36654abd"/>
  </w:docVars>
  <w:rsids>
    <w:rsidRoot w:val="00784582"/>
    <w:rsid w:val="000044C8"/>
    <w:rsid w:val="00014068"/>
    <w:rsid w:val="00015F14"/>
    <w:rsid w:val="00024AE2"/>
    <w:rsid w:val="0004173F"/>
    <w:rsid w:val="00046CAF"/>
    <w:rsid w:val="0004745B"/>
    <w:rsid w:val="00054DDE"/>
    <w:rsid w:val="000578C0"/>
    <w:rsid w:val="000619D4"/>
    <w:rsid w:val="000641C9"/>
    <w:rsid w:val="000708DD"/>
    <w:rsid w:val="00093BC7"/>
    <w:rsid w:val="0009792B"/>
    <w:rsid w:val="000A3CB0"/>
    <w:rsid w:val="000A475C"/>
    <w:rsid w:val="000B5AF6"/>
    <w:rsid w:val="000B64DB"/>
    <w:rsid w:val="000C71F6"/>
    <w:rsid w:val="000D24DA"/>
    <w:rsid w:val="000D5808"/>
    <w:rsid w:val="000E465C"/>
    <w:rsid w:val="0010150D"/>
    <w:rsid w:val="00105B62"/>
    <w:rsid w:val="0011225F"/>
    <w:rsid w:val="00115B97"/>
    <w:rsid w:val="00116A68"/>
    <w:rsid w:val="0013133D"/>
    <w:rsid w:val="00135604"/>
    <w:rsid w:val="00137138"/>
    <w:rsid w:val="001434B6"/>
    <w:rsid w:val="00153E33"/>
    <w:rsid w:val="00163C83"/>
    <w:rsid w:val="00165289"/>
    <w:rsid w:val="00175511"/>
    <w:rsid w:val="00194C04"/>
    <w:rsid w:val="001A2EC1"/>
    <w:rsid w:val="001B1787"/>
    <w:rsid w:val="001B542C"/>
    <w:rsid w:val="001D43E0"/>
    <w:rsid w:val="001E35D7"/>
    <w:rsid w:val="001E3C60"/>
    <w:rsid w:val="00214837"/>
    <w:rsid w:val="00220B93"/>
    <w:rsid w:val="00232FF0"/>
    <w:rsid w:val="002352D2"/>
    <w:rsid w:val="00242DA3"/>
    <w:rsid w:val="002442B6"/>
    <w:rsid w:val="00250EC4"/>
    <w:rsid w:val="00253B68"/>
    <w:rsid w:val="00257855"/>
    <w:rsid w:val="0025798F"/>
    <w:rsid w:val="0026029F"/>
    <w:rsid w:val="002741CD"/>
    <w:rsid w:val="00282889"/>
    <w:rsid w:val="00296AE9"/>
    <w:rsid w:val="002A480B"/>
    <w:rsid w:val="002B1F1E"/>
    <w:rsid w:val="002E168D"/>
    <w:rsid w:val="002E283C"/>
    <w:rsid w:val="003040BC"/>
    <w:rsid w:val="0031514A"/>
    <w:rsid w:val="00316BEB"/>
    <w:rsid w:val="00317A74"/>
    <w:rsid w:val="0032202F"/>
    <w:rsid w:val="0033261C"/>
    <w:rsid w:val="003429D2"/>
    <w:rsid w:val="00373565"/>
    <w:rsid w:val="00375809"/>
    <w:rsid w:val="00392499"/>
    <w:rsid w:val="003A36DA"/>
    <w:rsid w:val="003B2529"/>
    <w:rsid w:val="003B2E32"/>
    <w:rsid w:val="003C00D1"/>
    <w:rsid w:val="003C627E"/>
    <w:rsid w:val="003C74FC"/>
    <w:rsid w:val="003D42E1"/>
    <w:rsid w:val="003F1D82"/>
    <w:rsid w:val="003F5EFB"/>
    <w:rsid w:val="004001EB"/>
    <w:rsid w:val="00411DD0"/>
    <w:rsid w:val="00435706"/>
    <w:rsid w:val="004638A8"/>
    <w:rsid w:val="0046544D"/>
    <w:rsid w:val="0047308F"/>
    <w:rsid w:val="00483430"/>
    <w:rsid w:val="004C637B"/>
    <w:rsid w:val="004C6D17"/>
    <w:rsid w:val="004D1F07"/>
    <w:rsid w:val="004D2770"/>
    <w:rsid w:val="004D4E23"/>
    <w:rsid w:val="004E28E5"/>
    <w:rsid w:val="004F2E18"/>
    <w:rsid w:val="00501D2A"/>
    <w:rsid w:val="005106BD"/>
    <w:rsid w:val="005140A7"/>
    <w:rsid w:val="005168E7"/>
    <w:rsid w:val="0052332B"/>
    <w:rsid w:val="0055666A"/>
    <w:rsid w:val="00561ED0"/>
    <w:rsid w:val="00575752"/>
    <w:rsid w:val="0057720E"/>
    <w:rsid w:val="005816B1"/>
    <w:rsid w:val="00586C8C"/>
    <w:rsid w:val="005875CE"/>
    <w:rsid w:val="005B222B"/>
    <w:rsid w:val="005D1513"/>
    <w:rsid w:val="005D2709"/>
    <w:rsid w:val="005D6F4D"/>
    <w:rsid w:val="005E1BB1"/>
    <w:rsid w:val="005F4CDF"/>
    <w:rsid w:val="005F74B4"/>
    <w:rsid w:val="006052A6"/>
    <w:rsid w:val="00611963"/>
    <w:rsid w:val="00611F7C"/>
    <w:rsid w:val="00612827"/>
    <w:rsid w:val="006149AD"/>
    <w:rsid w:val="00623AEF"/>
    <w:rsid w:val="0062799E"/>
    <w:rsid w:val="00646A3C"/>
    <w:rsid w:val="0066488A"/>
    <w:rsid w:val="006739EA"/>
    <w:rsid w:val="006746CE"/>
    <w:rsid w:val="00680300"/>
    <w:rsid w:val="00680635"/>
    <w:rsid w:val="006810D2"/>
    <w:rsid w:val="00687AB7"/>
    <w:rsid w:val="00690064"/>
    <w:rsid w:val="00696FBE"/>
    <w:rsid w:val="00697DA0"/>
    <w:rsid w:val="006A77F6"/>
    <w:rsid w:val="006C2DA1"/>
    <w:rsid w:val="006D43DC"/>
    <w:rsid w:val="006F2022"/>
    <w:rsid w:val="006F6EF0"/>
    <w:rsid w:val="00710FDC"/>
    <w:rsid w:val="007243C8"/>
    <w:rsid w:val="00741299"/>
    <w:rsid w:val="00744EF9"/>
    <w:rsid w:val="0076735F"/>
    <w:rsid w:val="00770AE9"/>
    <w:rsid w:val="007734D2"/>
    <w:rsid w:val="00776063"/>
    <w:rsid w:val="007762F6"/>
    <w:rsid w:val="00784582"/>
    <w:rsid w:val="00784ABF"/>
    <w:rsid w:val="00796A6E"/>
    <w:rsid w:val="00796F31"/>
    <w:rsid w:val="007A4201"/>
    <w:rsid w:val="007A631E"/>
    <w:rsid w:val="007C1FA0"/>
    <w:rsid w:val="007D3499"/>
    <w:rsid w:val="007D73BF"/>
    <w:rsid w:val="007F6EB0"/>
    <w:rsid w:val="007F7931"/>
    <w:rsid w:val="0080275E"/>
    <w:rsid w:val="00824798"/>
    <w:rsid w:val="008356C2"/>
    <w:rsid w:val="008361CD"/>
    <w:rsid w:val="00847313"/>
    <w:rsid w:val="00857FF9"/>
    <w:rsid w:val="008613ED"/>
    <w:rsid w:val="00867B05"/>
    <w:rsid w:val="00881EF5"/>
    <w:rsid w:val="008845BF"/>
    <w:rsid w:val="00886358"/>
    <w:rsid w:val="008934EC"/>
    <w:rsid w:val="008946F7"/>
    <w:rsid w:val="008A0202"/>
    <w:rsid w:val="008A2CB1"/>
    <w:rsid w:val="008B6534"/>
    <w:rsid w:val="008C11D6"/>
    <w:rsid w:val="008C32CC"/>
    <w:rsid w:val="008C7FCE"/>
    <w:rsid w:val="008E1B46"/>
    <w:rsid w:val="008F5FCE"/>
    <w:rsid w:val="009103B6"/>
    <w:rsid w:val="009129FC"/>
    <w:rsid w:val="0092248E"/>
    <w:rsid w:val="00922949"/>
    <w:rsid w:val="00922BC0"/>
    <w:rsid w:val="00926C4E"/>
    <w:rsid w:val="00933855"/>
    <w:rsid w:val="00957B8F"/>
    <w:rsid w:val="0096325F"/>
    <w:rsid w:val="00977046"/>
    <w:rsid w:val="009857FF"/>
    <w:rsid w:val="00995CE0"/>
    <w:rsid w:val="009967D1"/>
    <w:rsid w:val="009A30CD"/>
    <w:rsid w:val="009B1CB8"/>
    <w:rsid w:val="009C6ACE"/>
    <w:rsid w:val="009C6D44"/>
    <w:rsid w:val="009E035B"/>
    <w:rsid w:val="009E67FE"/>
    <w:rsid w:val="00A10B83"/>
    <w:rsid w:val="00A14C80"/>
    <w:rsid w:val="00A16629"/>
    <w:rsid w:val="00A3116C"/>
    <w:rsid w:val="00A66B5F"/>
    <w:rsid w:val="00A708CB"/>
    <w:rsid w:val="00A7734B"/>
    <w:rsid w:val="00A811CE"/>
    <w:rsid w:val="00A87828"/>
    <w:rsid w:val="00AA2148"/>
    <w:rsid w:val="00AB71E6"/>
    <w:rsid w:val="00AC1E9F"/>
    <w:rsid w:val="00AC447B"/>
    <w:rsid w:val="00AC6DAC"/>
    <w:rsid w:val="00AC7B24"/>
    <w:rsid w:val="00AE5BB7"/>
    <w:rsid w:val="00AF1587"/>
    <w:rsid w:val="00AF502F"/>
    <w:rsid w:val="00B030C5"/>
    <w:rsid w:val="00B10811"/>
    <w:rsid w:val="00B23089"/>
    <w:rsid w:val="00B37593"/>
    <w:rsid w:val="00B44BBD"/>
    <w:rsid w:val="00B5022E"/>
    <w:rsid w:val="00B65D4D"/>
    <w:rsid w:val="00B734D2"/>
    <w:rsid w:val="00B7557D"/>
    <w:rsid w:val="00B77BBE"/>
    <w:rsid w:val="00B833EC"/>
    <w:rsid w:val="00B86921"/>
    <w:rsid w:val="00BA3959"/>
    <w:rsid w:val="00BA41DE"/>
    <w:rsid w:val="00BB3D25"/>
    <w:rsid w:val="00BB4F11"/>
    <w:rsid w:val="00BB7BC4"/>
    <w:rsid w:val="00BC0825"/>
    <w:rsid w:val="00BC1F18"/>
    <w:rsid w:val="00BF76BA"/>
    <w:rsid w:val="00C16D6D"/>
    <w:rsid w:val="00C20243"/>
    <w:rsid w:val="00C21A46"/>
    <w:rsid w:val="00C2594B"/>
    <w:rsid w:val="00C37383"/>
    <w:rsid w:val="00C472C0"/>
    <w:rsid w:val="00C576C2"/>
    <w:rsid w:val="00C622E2"/>
    <w:rsid w:val="00C6565E"/>
    <w:rsid w:val="00C91069"/>
    <w:rsid w:val="00C910A0"/>
    <w:rsid w:val="00CA0343"/>
    <w:rsid w:val="00CA52AF"/>
    <w:rsid w:val="00CC0510"/>
    <w:rsid w:val="00CD1013"/>
    <w:rsid w:val="00CE0F7A"/>
    <w:rsid w:val="00D27D93"/>
    <w:rsid w:val="00D621A1"/>
    <w:rsid w:val="00D74304"/>
    <w:rsid w:val="00D90CC7"/>
    <w:rsid w:val="00D92490"/>
    <w:rsid w:val="00DB409C"/>
    <w:rsid w:val="00DC3054"/>
    <w:rsid w:val="00DC35CB"/>
    <w:rsid w:val="00DC5722"/>
    <w:rsid w:val="00DC795E"/>
    <w:rsid w:val="00DD3B34"/>
    <w:rsid w:val="00DD7508"/>
    <w:rsid w:val="00E00993"/>
    <w:rsid w:val="00E059A7"/>
    <w:rsid w:val="00E067EC"/>
    <w:rsid w:val="00E1752B"/>
    <w:rsid w:val="00E202A4"/>
    <w:rsid w:val="00E24B80"/>
    <w:rsid w:val="00E428A7"/>
    <w:rsid w:val="00E466F6"/>
    <w:rsid w:val="00E4724E"/>
    <w:rsid w:val="00E7080A"/>
    <w:rsid w:val="00E77030"/>
    <w:rsid w:val="00E83453"/>
    <w:rsid w:val="00E84DBF"/>
    <w:rsid w:val="00E97A1D"/>
    <w:rsid w:val="00EA4CBF"/>
    <w:rsid w:val="00EB4F86"/>
    <w:rsid w:val="00EB7A22"/>
    <w:rsid w:val="00ED0072"/>
    <w:rsid w:val="00ED13DA"/>
    <w:rsid w:val="00ED2071"/>
    <w:rsid w:val="00ED44FA"/>
    <w:rsid w:val="00F03911"/>
    <w:rsid w:val="00F040FF"/>
    <w:rsid w:val="00F07CC8"/>
    <w:rsid w:val="00F10EAE"/>
    <w:rsid w:val="00F1166F"/>
    <w:rsid w:val="00F2009F"/>
    <w:rsid w:val="00F23365"/>
    <w:rsid w:val="00F33808"/>
    <w:rsid w:val="00F41329"/>
    <w:rsid w:val="00F41C5B"/>
    <w:rsid w:val="00F507D9"/>
    <w:rsid w:val="00F50CC2"/>
    <w:rsid w:val="00F720B9"/>
    <w:rsid w:val="00F736DA"/>
    <w:rsid w:val="00F92FB4"/>
    <w:rsid w:val="00FB6506"/>
    <w:rsid w:val="00FD149A"/>
    <w:rsid w:val="00FE2AC4"/>
    <w:rsid w:val="02005E38"/>
    <w:rsid w:val="02BC4AD9"/>
    <w:rsid w:val="04EC02CA"/>
    <w:rsid w:val="056105EF"/>
    <w:rsid w:val="05E87906"/>
    <w:rsid w:val="06135CD2"/>
    <w:rsid w:val="063B2C83"/>
    <w:rsid w:val="064C74D2"/>
    <w:rsid w:val="064D5672"/>
    <w:rsid w:val="06621B07"/>
    <w:rsid w:val="07776904"/>
    <w:rsid w:val="08931509"/>
    <w:rsid w:val="08D812B9"/>
    <w:rsid w:val="09A80C92"/>
    <w:rsid w:val="0AB84AEE"/>
    <w:rsid w:val="0B675A6F"/>
    <w:rsid w:val="0B785E14"/>
    <w:rsid w:val="0BC74E4B"/>
    <w:rsid w:val="0BF56526"/>
    <w:rsid w:val="0DB0287C"/>
    <w:rsid w:val="0DDF40C5"/>
    <w:rsid w:val="0E101D52"/>
    <w:rsid w:val="0E837196"/>
    <w:rsid w:val="0F124BA9"/>
    <w:rsid w:val="0FB57F09"/>
    <w:rsid w:val="109222A8"/>
    <w:rsid w:val="1174550D"/>
    <w:rsid w:val="11CB05CE"/>
    <w:rsid w:val="11D5776E"/>
    <w:rsid w:val="12D1450A"/>
    <w:rsid w:val="12DF5388"/>
    <w:rsid w:val="13A5526F"/>
    <w:rsid w:val="13CB6A94"/>
    <w:rsid w:val="141A5518"/>
    <w:rsid w:val="14C04A6B"/>
    <w:rsid w:val="152A6CC5"/>
    <w:rsid w:val="153C4487"/>
    <w:rsid w:val="158636DD"/>
    <w:rsid w:val="162303C0"/>
    <w:rsid w:val="16E016DC"/>
    <w:rsid w:val="171A5953"/>
    <w:rsid w:val="17752601"/>
    <w:rsid w:val="181A0591"/>
    <w:rsid w:val="19566A03"/>
    <w:rsid w:val="19607349"/>
    <w:rsid w:val="1B7811BE"/>
    <w:rsid w:val="1CC3772B"/>
    <w:rsid w:val="1CEC7E01"/>
    <w:rsid w:val="1D0143C0"/>
    <w:rsid w:val="1DD40B59"/>
    <w:rsid w:val="1DE54289"/>
    <w:rsid w:val="1DF454C1"/>
    <w:rsid w:val="1E7F0DD7"/>
    <w:rsid w:val="1EC849A5"/>
    <w:rsid w:val="1EE03332"/>
    <w:rsid w:val="1F616DD7"/>
    <w:rsid w:val="20865114"/>
    <w:rsid w:val="20D45401"/>
    <w:rsid w:val="21035D38"/>
    <w:rsid w:val="211A411E"/>
    <w:rsid w:val="22406F2F"/>
    <w:rsid w:val="22450083"/>
    <w:rsid w:val="22EA728F"/>
    <w:rsid w:val="23B84C5C"/>
    <w:rsid w:val="240B6A45"/>
    <w:rsid w:val="24B3375B"/>
    <w:rsid w:val="24D528CA"/>
    <w:rsid w:val="253E65E6"/>
    <w:rsid w:val="26D31965"/>
    <w:rsid w:val="271C2460"/>
    <w:rsid w:val="275F2824"/>
    <w:rsid w:val="27857A5E"/>
    <w:rsid w:val="28211A6E"/>
    <w:rsid w:val="286D7C98"/>
    <w:rsid w:val="28FF1BBD"/>
    <w:rsid w:val="291A187E"/>
    <w:rsid w:val="291A6298"/>
    <w:rsid w:val="293F20B8"/>
    <w:rsid w:val="2A154741"/>
    <w:rsid w:val="2A3868CC"/>
    <w:rsid w:val="2A7E5C9D"/>
    <w:rsid w:val="2AFB7D30"/>
    <w:rsid w:val="2B3A07F7"/>
    <w:rsid w:val="2BFE6E4E"/>
    <w:rsid w:val="2CC97865"/>
    <w:rsid w:val="2CEA3491"/>
    <w:rsid w:val="2D0077E6"/>
    <w:rsid w:val="2D5F165F"/>
    <w:rsid w:val="2D74241F"/>
    <w:rsid w:val="2D924495"/>
    <w:rsid w:val="2E2D0DE9"/>
    <w:rsid w:val="2E622EE3"/>
    <w:rsid w:val="2E661676"/>
    <w:rsid w:val="2E6E396A"/>
    <w:rsid w:val="2F5506FD"/>
    <w:rsid w:val="2FEA512A"/>
    <w:rsid w:val="30572D9F"/>
    <w:rsid w:val="30A87D63"/>
    <w:rsid w:val="30C551D3"/>
    <w:rsid w:val="3149309B"/>
    <w:rsid w:val="31D6428F"/>
    <w:rsid w:val="333B1C7E"/>
    <w:rsid w:val="33A013BF"/>
    <w:rsid w:val="33E447D4"/>
    <w:rsid w:val="34126BD5"/>
    <w:rsid w:val="34C24761"/>
    <w:rsid w:val="35ED5559"/>
    <w:rsid w:val="3720510F"/>
    <w:rsid w:val="380F1965"/>
    <w:rsid w:val="397921B8"/>
    <w:rsid w:val="399C4228"/>
    <w:rsid w:val="39DA0497"/>
    <w:rsid w:val="3A3871E9"/>
    <w:rsid w:val="3AA11F1F"/>
    <w:rsid w:val="3B376F9A"/>
    <w:rsid w:val="3C305BDA"/>
    <w:rsid w:val="3C6B54CE"/>
    <w:rsid w:val="3CAC2466"/>
    <w:rsid w:val="3DA92D04"/>
    <w:rsid w:val="3E220DA5"/>
    <w:rsid w:val="3E5312A2"/>
    <w:rsid w:val="3EFE3CFD"/>
    <w:rsid w:val="3F9E7394"/>
    <w:rsid w:val="3FCA71BC"/>
    <w:rsid w:val="41230DB2"/>
    <w:rsid w:val="41646492"/>
    <w:rsid w:val="4205492E"/>
    <w:rsid w:val="42274FE8"/>
    <w:rsid w:val="431A64EA"/>
    <w:rsid w:val="4453254E"/>
    <w:rsid w:val="448A3446"/>
    <w:rsid w:val="466F041F"/>
    <w:rsid w:val="46932B07"/>
    <w:rsid w:val="47BE722F"/>
    <w:rsid w:val="481953AC"/>
    <w:rsid w:val="48D432CC"/>
    <w:rsid w:val="49183A3E"/>
    <w:rsid w:val="4A6B7E0A"/>
    <w:rsid w:val="4A731B1B"/>
    <w:rsid w:val="4B055374"/>
    <w:rsid w:val="4B5B5AC0"/>
    <w:rsid w:val="4B664DFD"/>
    <w:rsid w:val="4BA03F18"/>
    <w:rsid w:val="4C6E3634"/>
    <w:rsid w:val="4CCB6C40"/>
    <w:rsid w:val="4CD77C50"/>
    <w:rsid w:val="4D5B6903"/>
    <w:rsid w:val="4D610F7C"/>
    <w:rsid w:val="4F4F16CC"/>
    <w:rsid w:val="4F5E3173"/>
    <w:rsid w:val="4F607298"/>
    <w:rsid w:val="4F754847"/>
    <w:rsid w:val="4F8E4787"/>
    <w:rsid w:val="4FA2358F"/>
    <w:rsid w:val="4FF01082"/>
    <w:rsid w:val="500E5B7D"/>
    <w:rsid w:val="50141428"/>
    <w:rsid w:val="50E83C5E"/>
    <w:rsid w:val="518E75BD"/>
    <w:rsid w:val="524837AA"/>
    <w:rsid w:val="52667939"/>
    <w:rsid w:val="527B4B0B"/>
    <w:rsid w:val="537F309B"/>
    <w:rsid w:val="53D504B4"/>
    <w:rsid w:val="53DA43D3"/>
    <w:rsid w:val="54563571"/>
    <w:rsid w:val="545F3725"/>
    <w:rsid w:val="54E33EDE"/>
    <w:rsid w:val="54EC48E6"/>
    <w:rsid w:val="55004FFC"/>
    <w:rsid w:val="55F85EB4"/>
    <w:rsid w:val="56016B32"/>
    <w:rsid w:val="56084DB2"/>
    <w:rsid w:val="56A771A9"/>
    <w:rsid w:val="57262BBE"/>
    <w:rsid w:val="575D04C4"/>
    <w:rsid w:val="57796194"/>
    <w:rsid w:val="5863564E"/>
    <w:rsid w:val="58BB0565"/>
    <w:rsid w:val="59701B27"/>
    <w:rsid w:val="599C6ACC"/>
    <w:rsid w:val="5A96536E"/>
    <w:rsid w:val="5AB44455"/>
    <w:rsid w:val="5BFC5BF3"/>
    <w:rsid w:val="5CF07BB9"/>
    <w:rsid w:val="5CFC3C9E"/>
    <w:rsid w:val="5D485199"/>
    <w:rsid w:val="5DE7348B"/>
    <w:rsid w:val="5E190C63"/>
    <w:rsid w:val="5EDA1F42"/>
    <w:rsid w:val="5EFF2FA1"/>
    <w:rsid w:val="5F2021EE"/>
    <w:rsid w:val="5F526A7C"/>
    <w:rsid w:val="5F647A97"/>
    <w:rsid w:val="5FA34CF7"/>
    <w:rsid w:val="604370B1"/>
    <w:rsid w:val="61253C6C"/>
    <w:rsid w:val="612C2C1E"/>
    <w:rsid w:val="61370B9A"/>
    <w:rsid w:val="614E6FF1"/>
    <w:rsid w:val="615E3252"/>
    <w:rsid w:val="62350FF3"/>
    <w:rsid w:val="623A330C"/>
    <w:rsid w:val="62A6017A"/>
    <w:rsid w:val="63365BFA"/>
    <w:rsid w:val="63365FCF"/>
    <w:rsid w:val="634E7096"/>
    <w:rsid w:val="640602B1"/>
    <w:rsid w:val="641A755E"/>
    <w:rsid w:val="64C25C2B"/>
    <w:rsid w:val="65662331"/>
    <w:rsid w:val="662918B0"/>
    <w:rsid w:val="662D17CA"/>
    <w:rsid w:val="66660B47"/>
    <w:rsid w:val="66727480"/>
    <w:rsid w:val="668A4ED7"/>
    <w:rsid w:val="67A915F4"/>
    <w:rsid w:val="67C42395"/>
    <w:rsid w:val="690075F5"/>
    <w:rsid w:val="693F1F2F"/>
    <w:rsid w:val="6A994F4D"/>
    <w:rsid w:val="6AFB09B5"/>
    <w:rsid w:val="6AFF5C37"/>
    <w:rsid w:val="6B4C35A8"/>
    <w:rsid w:val="6BC905D3"/>
    <w:rsid w:val="6C3707E1"/>
    <w:rsid w:val="6C3A7F53"/>
    <w:rsid w:val="6C5C0199"/>
    <w:rsid w:val="6CAC568E"/>
    <w:rsid w:val="6D1142A0"/>
    <w:rsid w:val="6D2146EB"/>
    <w:rsid w:val="6D28765D"/>
    <w:rsid w:val="6D6A3831"/>
    <w:rsid w:val="6E3857D6"/>
    <w:rsid w:val="6E52470F"/>
    <w:rsid w:val="6E8F7204"/>
    <w:rsid w:val="6E9D2E7D"/>
    <w:rsid w:val="6FE31DD4"/>
    <w:rsid w:val="71377362"/>
    <w:rsid w:val="723B6D41"/>
    <w:rsid w:val="735A7315"/>
    <w:rsid w:val="73A778F8"/>
    <w:rsid w:val="73B260DF"/>
    <w:rsid w:val="746A366B"/>
    <w:rsid w:val="76053BCA"/>
    <w:rsid w:val="768C0B57"/>
    <w:rsid w:val="77263F29"/>
    <w:rsid w:val="77E55B44"/>
    <w:rsid w:val="7821362E"/>
    <w:rsid w:val="785670FD"/>
    <w:rsid w:val="788F6F80"/>
    <w:rsid w:val="78E7200A"/>
    <w:rsid w:val="79432D4C"/>
    <w:rsid w:val="798C1AF7"/>
    <w:rsid w:val="7A956F86"/>
    <w:rsid w:val="7AAE2CD8"/>
    <w:rsid w:val="7B596680"/>
    <w:rsid w:val="7B5C7563"/>
    <w:rsid w:val="7B7A037A"/>
    <w:rsid w:val="7BBB0999"/>
    <w:rsid w:val="7C92267D"/>
    <w:rsid w:val="7CB00608"/>
    <w:rsid w:val="7D1868D9"/>
    <w:rsid w:val="7D1F3A1E"/>
    <w:rsid w:val="7D25327D"/>
    <w:rsid w:val="7D7D24D4"/>
    <w:rsid w:val="7DDE64ED"/>
    <w:rsid w:val="7DFD4C19"/>
    <w:rsid w:val="7FAA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rPr>
      <w:kern w:val="0"/>
      <w:sz w:val="20"/>
    </w:rPr>
  </w:style>
  <w:style w:type="paragraph" w:styleId="5">
    <w:name w:val="Body Text"/>
    <w:basedOn w:val="1"/>
    <w:qFormat/>
    <w:uiPriority w:val="0"/>
    <w:pPr>
      <w:ind w:firstLine="1440"/>
    </w:pPr>
    <w:rPr>
      <w:rFonts w:eastAsia="Batang"/>
      <w:kern w:val="0"/>
      <w:sz w:val="22"/>
      <w:szCs w:val="22"/>
      <w:lang w:eastAsia="ko-KR"/>
    </w:rPr>
  </w:style>
  <w:style w:type="paragraph" w:styleId="6">
    <w:name w:val="Date"/>
    <w:basedOn w:val="1"/>
    <w:next w:val="1"/>
    <w:link w:val="18"/>
    <w:qFormat/>
    <w:uiPriority w:val="0"/>
    <w:pPr>
      <w:ind w:left="100" w:leftChars="2500"/>
    </w:pPr>
  </w:style>
  <w:style w:type="paragraph" w:styleId="7">
    <w:name w:val="Body Text Indent 2"/>
    <w:basedOn w:val="1"/>
    <w:link w:val="20"/>
    <w:qFormat/>
    <w:uiPriority w:val="0"/>
    <w:pPr>
      <w:ind w:firstLine="570"/>
    </w:pPr>
    <w:rPr>
      <w:rFonts w:ascii="仿宋_GB2312" w:hAnsi="宋体" w:eastAsia="仿宋_GB2312"/>
      <w:sz w:val="28"/>
    </w:rPr>
  </w:style>
  <w:style w:type="paragraph" w:styleId="8">
    <w:name w:val="Balloon Text"/>
    <w:basedOn w:val="1"/>
    <w:link w:val="24"/>
    <w:unhideWhenUsed/>
    <w:qFormat/>
    <w:uiPriority w:val="99"/>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Normal (Web)"/>
    <w:basedOn w:val="1"/>
    <w:unhideWhenUsed/>
    <w:qFormat/>
    <w:uiPriority w:val="99"/>
    <w:pPr>
      <w:spacing w:before="100" w:beforeAutospacing="1" w:after="100" w:afterAutospacing="1"/>
      <w:jc w:val="left"/>
    </w:pPr>
    <w:rPr>
      <w:kern w:val="0"/>
      <w:sz w:val="24"/>
    </w:rPr>
  </w:style>
  <w:style w:type="paragraph" w:styleId="12">
    <w:name w:val="annotation subject"/>
    <w:basedOn w:val="4"/>
    <w:next w:val="4"/>
    <w:link w:val="23"/>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日期 字符"/>
    <w:link w:val="6"/>
    <w:qFormat/>
    <w:uiPriority w:val="0"/>
    <w:rPr>
      <w:rFonts w:ascii="Times New Roman" w:hAnsi="Times New Roman"/>
      <w:kern w:val="2"/>
      <w:sz w:val="21"/>
      <w:szCs w:val="24"/>
    </w:rPr>
  </w:style>
  <w:style w:type="character" w:customStyle="1" w:styleId="19">
    <w:name w:val="页眉 字符"/>
    <w:link w:val="10"/>
    <w:qFormat/>
    <w:uiPriority w:val="99"/>
    <w:rPr>
      <w:sz w:val="18"/>
      <w:szCs w:val="18"/>
    </w:rPr>
  </w:style>
  <w:style w:type="character" w:customStyle="1" w:styleId="20">
    <w:name w:val="正文文本缩进 2 字符"/>
    <w:link w:val="7"/>
    <w:qFormat/>
    <w:uiPriority w:val="0"/>
    <w:rPr>
      <w:rFonts w:ascii="仿宋_GB2312" w:hAnsi="宋体" w:eastAsia="仿宋_GB2312"/>
      <w:kern w:val="2"/>
      <w:sz w:val="28"/>
      <w:szCs w:val="24"/>
    </w:rPr>
  </w:style>
  <w:style w:type="character" w:customStyle="1" w:styleId="21">
    <w:name w:val="页脚 字符"/>
    <w:link w:val="9"/>
    <w:qFormat/>
    <w:uiPriority w:val="99"/>
    <w:rPr>
      <w:sz w:val="18"/>
      <w:szCs w:val="18"/>
    </w:rPr>
  </w:style>
  <w:style w:type="character" w:customStyle="1" w:styleId="22">
    <w:name w:val="批注文字 字符"/>
    <w:link w:val="4"/>
    <w:semiHidden/>
    <w:qFormat/>
    <w:uiPriority w:val="99"/>
    <w:rPr>
      <w:rFonts w:ascii="Times New Roman" w:hAnsi="Times New Roman" w:eastAsia="宋体" w:cs="Times New Roman"/>
      <w:szCs w:val="24"/>
    </w:rPr>
  </w:style>
  <w:style w:type="character" w:customStyle="1" w:styleId="23">
    <w:name w:val="批注主题 字符"/>
    <w:link w:val="12"/>
    <w:semiHidden/>
    <w:qFormat/>
    <w:uiPriority w:val="99"/>
    <w:rPr>
      <w:rFonts w:ascii="Times New Roman" w:hAnsi="Times New Roman" w:eastAsia="宋体" w:cs="Times New Roman"/>
      <w:b/>
      <w:bCs/>
      <w:szCs w:val="24"/>
    </w:rPr>
  </w:style>
  <w:style w:type="character" w:customStyle="1" w:styleId="24">
    <w:name w:val="批注框文本 字符"/>
    <w:link w:val="8"/>
    <w:semiHidden/>
    <w:qFormat/>
    <w:uiPriority w:val="99"/>
    <w:rPr>
      <w:rFonts w:ascii="Times New Roman" w:hAnsi="Times New Roman" w:eastAsia="宋体" w:cs="Times New Roman"/>
      <w:sz w:val="18"/>
      <w:szCs w:val="18"/>
    </w:rPr>
  </w:style>
  <w:style w:type="paragraph" w:customStyle="1" w:styleId="25">
    <w:name w:val="三级条款"/>
    <w:basedOn w:val="26"/>
    <w:qFormat/>
    <w:uiPriority w:val="0"/>
    <w:pPr>
      <w:numPr>
        <w:ilvl w:val="2"/>
      </w:numPr>
    </w:pPr>
  </w:style>
  <w:style w:type="paragraph" w:customStyle="1" w:styleId="26">
    <w:name w:val="二级条款"/>
    <w:basedOn w:val="1"/>
    <w:qFormat/>
    <w:uiPriority w:val="0"/>
    <w:pPr>
      <w:numPr>
        <w:ilvl w:val="1"/>
        <w:numId w:val="2"/>
      </w:numPr>
    </w:pPr>
  </w:style>
  <w:style w:type="paragraph" w:customStyle="1" w:styleId="27">
    <w:name w:val="Normal (Justified)"/>
    <w:basedOn w:val="1"/>
    <w:qFormat/>
    <w:uiPriority w:val="0"/>
    <w:pPr>
      <w:widowControl/>
    </w:pPr>
    <w:rPr>
      <w:snapToGrid w:val="0"/>
      <w:kern w:val="28"/>
      <w:sz w:val="24"/>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8B5EF-EA71-4261-A894-DD28052208CE}">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22</Pages>
  <Words>1526</Words>
  <Characters>8703</Characters>
  <Lines>72</Lines>
  <Paragraphs>20</Paragraphs>
  <TotalTime>0</TotalTime>
  <ScaleCrop>false</ScaleCrop>
  <LinksUpToDate>false</LinksUpToDate>
  <CharactersWithSpaces>10209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2022-12-22T05:57:00Z</dcterms:created>
  <dc:creator>张媛媛</dc:creator>
  <cp:lastModifiedBy>李艳(大连分公司)</cp:lastModifiedBy>
  <cp:lastPrinted>2022-11-22T00:26:00Z</cp:lastPrinted>
  <dcterms:modified xsi:type="dcterms:W3CDTF">2025-12-07T03:30:33Z</dcterms:modified>
  <dc:title>协议编号：                       号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1382411823114409AD8E1678825381AC</vt:lpwstr>
  </property>
</Properties>
</file>