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rPr>
          <w:rFonts w:hint="eastAsia" w:ascii="方正小标宋简体" w:hAnsi="方正小标宋简体" w:eastAsia="方正小标宋简体" w:cs="方正小标宋简体"/>
          <w:i w:val="0"/>
          <w:iCs w:val="0"/>
          <w:caps w:val="0"/>
          <w:color w:val="auto"/>
          <w:spacing w:val="0"/>
          <w:sz w:val="36"/>
          <w:szCs w:val="36"/>
        </w:rPr>
      </w:pPr>
      <w:r>
        <w:rPr>
          <w:rFonts w:hint="eastAsia" w:ascii="方正小标宋简体" w:hAnsi="方正小标宋简体" w:eastAsia="方正小标宋简体" w:cs="方正小标宋简体"/>
          <w:i w:val="0"/>
          <w:iCs w:val="0"/>
          <w:caps w:val="0"/>
          <w:color w:val="auto"/>
          <w:spacing w:val="0"/>
          <w:kern w:val="0"/>
          <w:sz w:val="36"/>
          <w:szCs w:val="36"/>
          <w:shd w:val="clear" w:fill="FFFFFF"/>
          <w:lang w:val="en-US" w:eastAsia="zh-CN" w:bidi="ar"/>
        </w:rPr>
        <w:t>竞买须知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baseline"/>
        <w:rPr>
          <w:color w:val="666666"/>
          <w:sz w:val="32"/>
          <w:szCs w:val="32"/>
        </w:rPr>
      </w:pPr>
      <w:r>
        <w:rPr>
          <w:rFonts w:hint="eastAsia" w:ascii="仿宋_GB2312" w:hAnsi="微软雅黑" w:eastAsia="仿宋_GB2312" w:cs="仿宋_GB2312"/>
          <w:i w:val="0"/>
          <w:iCs w:val="0"/>
          <w:caps w:val="0"/>
          <w:color w:val="303030"/>
          <w:spacing w:val="0"/>
          <w:sz w:val="32"/>
          <w:szCs w:val="32"/>
          <w:shd w:val="clear" w:fill="FFFFFF"/>
          <w:vertAlign w:val="baseli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Times New Roman"/>
          <w:sz w:val="32"/>
          <w:szCs w:val="32"/>
          <w:highlight w:val="none"/>
          <w:lang w:val="en-US" w:eastAsia="zh-CN"/>
        </w:rPr>
        <w:t>中国中信金融资产管理股份有限公司贵州省分公司（以下简称“本公司”或“我方”）定于2025年12月20日上午9:00起至2025年12月21日上午9:00止在京东网站</w:t>
      </w:r>
      <w:r>
        <w:rPr>
          <w:rFonts w:hint="eastAsia" w:ascii="仿宋_GB2312" w:hAnsi="仿宋_GB2312" w:eastAsia="仿宋_GB2312" w:cs="仿宋_GB2312"/>
          <w:i w:val="0"/>
          <w:iCs w:val="0"/>
          <w:caps w:val="0"/>
          <w:color w:val="000000"/>
          <w:spacing w:val="0"/>
          <w:sz w:val="32"/>
          <w:szCs w:val="32"/>
          <w:shd w:val="clear" w:fill="FFFFFF"/>
        </w:rPr>
        <w:t>（https://zcpm.jd.com）</w:t>
      </w:r>
      <w:r>
        <w:rPr>
          <w:rFonts w:hint="eastAsia" w:ascii="仿宋_GB2312" w:hAnsi="仿宋_GB2312" w:eastAsia="仿宋_GB2312" w:cs="仿宋_GB2312"/>
          <w:i w:val="0"/>
          <w:iCs w:val="0"/>
          <w:caps w:val="0"/>
          <w:color w:val="000000"/>
          <w:spacing w:val="0"/>
          <w:sz w:val="32"/>
          <w:szCs w:val="32"/>
          <w:shd w:val="clear" w:fill="FFFFFF"/>
          <w:lang w:val="en-US" w:eastAsia="zh-CN"/>
        </w:rPr>
        <w:t>进行公开竞价活动，现就有关网络竞价事宜敬告各位竞买人：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竞买人参与竞价前须详细阅读此《竞买须知》。竞买人应认真仔细阅读，了解本须知的全部内容。本次竞价活动遵循“公开、公平、公正、诚实守信”的原则，竞价活动具备法律效力。参加本次竞价活动的当事人和竞买人必须遵守本《须知》的各项条款，并对自己的行为承担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7"/>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7"/>
          <w:rFonts w:hint="eastAsia" w:ascii="黑体" w:hAnsi="黑体" w:eastAsia="黑体" w:cs="黑体"/>
          <w:b w:val="0"/>
          <w:bCs/>
          <w:i w:val="0"/>
          <w:iCs w:val="0"/>
          <w:caps w:val="0"/>
          <w:color w:val="303030"/>
          <w:spacing w:val="0"/>
          <w:sz w:val="32"/>
          <w:szCs w:val="32"/>
          <w:shd w:val="clear" w:fill="FFFFFF"/>
          <w:vertAlign w:val="baseline"/>
        </w:rPr>
        <w:t>一、</w:t>
      </w:r>
      <w:r>
        <w:rPr>
          <w:rStyle w:val="7"/>
          <w:rFonts w:hint="eastAsia" w:ascii="黑体" w:hAnsi="黑体" w:eastAsia="黑体" w:cs="黑体"/>
          <w:b w:val="0"/>
          <w:bCs/>
          <w:i w:val="0"/>
          <w:iCs w:val="0"/>
          <w:caps w:val="0"/>
          <w:color w:val="303030"/>
          <w:spacing w:val="0"/>
          <w:sz w:val="32"/>
          <w:szCs w:val="32"/>
          <w:shd w:val="clear" w:fill="FFFFFF"/>
          <w:vertAlign w:val="baseline"/>
          <w:lang w:val="en-US" w:eastAsia="zh-CN"/>
        </w:rPr>
        <w:t>标的债权要素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（一）转让方：中国中信金融资产管理股份有限公司。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（二）标的债权：本公司管理的贵州东方晔景机电物资有限公司不良债权资产。债权情况如下表：</w:t>
      </w:r>
    </w:p>
    <w:tbl>
      <w:tblPr>
        <w:tblStyle w:val="5"/>
        <w:tblW w:w="6634" w:type="pct"/>
        <w:tblInd w:w="-13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9"/>
        <w:gridCol w:w="1350"/>
        <w:gridCol w:w="1631"/>
        <w:gridCol w:w="1688"/>
        <w:gridCol w:w="3769"/>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债权人名称</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债务人名称</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债权本金（元）</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债权利息、罚息、复利（元）</w:t>
            </w:r>
          </w:p>
        </w:tc>
        <w:tc>
          <w:tcPr>
            <w:tcW w:w="16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抵质押物</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保证人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中国中信金融资产管理股份有限公司</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贵州东方晔景机电物资有限公司</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22,799,889.73</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46,611,664.51</w:t>
            </w:r>
          </w:p>
        </w:tc>
        <w:tc>
          <w:tcPr>
            <w:tcW w:w="16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lang w:val="en-US" w:eastAsia="zh-CN"/>
              </w:rPr>
              <w:t>张琦名下位于贵阳市白云区建设南路</w:t>
            </w:r>
            <w:r>
              <w:rPr>
                <w:rFonts w:hint="eastAsia" w:ascii="宋体" w:hAnsi="宋体" w:cs="宋体"/>
                <w:i w:val="0"/>
                <w:iCs w:val="0"/>
                <w:color w:val="000000"/>
                <w:sz w:val="21"/>
                <w:szCs w:val="21"/>
                <w:u w:val="none"/>
                <w:lang w:val="en-US" w:eastAsia="zh-CN"/>
              </w:rPr>
              <w:t>10号5栋-1层3号、5号、10号、11号、12号、13号、14号、15号及</w:t>
            </w:r>
            <w:r>
              <w:rPr>
                <w:rFonts w:hint="eastAsia" w:ascii="宋体" w:hAnsi="宋体" w:eastAsia="宋体" w:cs="宋体"/>
                <w:i w:val="0"/>
                <w:iCs w:val="0"/>
                <w:color w:val="000000"/>
                <w:sz w:val="21"/>
                <w:szCs w:val="21"/>
                <w:u w:val="none"/>
                <w:lang w:val="en-US" w:eastAsia="zh-CN"/>
              </w:rPr>
              <w:t>建设南路</w:t>
            </w:r>
            <w:r>
              <w:rPr>
                <w:rFonts w:hint="eastAsia" w:ascii="宋体" w:hAnsi="宋体" w:cs="宋体"/>
                <w:i w:val="0"/>
                <w:iCs w:val="0"/>
                <w:color w:val="000000"/>
                <w:sz w:val="21"/>
                <w:szCs w:val="21"/>
                <w:u w:val="none"/>
                <w:lang w:val="en-US" w:eastAsia="zh-CN"/>
              </w:rPr>
              <w:t>10号1栋-1层2号、3号、4号共计</w:t>
            </w:r>
            <w:r>
              <w:rPr>
                <w:rFonts w:hint="eastAsia" w:ascii="宋体" w:hAnsi="宋体" w:eastAsia="宋体" w:cs="宋体"/>
                <w:i w:val="0"/>
                <w:iCs w:val="0"/>
                <w:color w:val="000000"/>
                <w:sz w:val="21"/>
                <w:szCs w:val="21"/>
                <w:u w:val="none"/>
                <w:lang w:val="en-US" w:eastAsia="zh-CN"/>
              </w:rPr>
              <w:t>11套商业用房，面积共计1522.42㎡；</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2.贵阳白云圣龙房地产开发有限公司名下位于贵阳市白云南路448号圣龙世纪苑</w:t>
            </w:r>
            <w:r>
              <w:rPr>
                <w:rFonts w:hint="eastAsia" w:ascii="宋体" w:hAnsi="宋体" w:cs="宋体"/>
                <w:i w:val="0"/>
                <w:iCs w:val="0"/>
                <w:color w:val="000000"/>
                <w:sz w:val="21"/>
                <w:szCs w:val="21"/>
                <w:u w:val="none"/>
                <w:lang w:val="en-US" w:eastAsia="zh-CN"/>
              </w:rPr>
              <w:t>2幢1-2层</w:t>
            </w:r>
            <w:r>
              <w:rPr>
                <w:rFonts w:hint="eastAsia" w:ascii="宋体" w:hAnsi="宋体" w:eastAsia="宋体" w:cs="宋体"/>
                <w:i w:val="0"/>
                <w:iCs w:val="0"/>
                <w:color w:val="000000"/>
                <w:sz w:val="21"/>
                <w:szCs w:val="21"/>
                <w:u w:val="none"/>
                <w:lang w:val="en-US" w:eastAsia="zh-CN"/>
              </w:rPr>
              <w:t>商业用房，面积共计590.43㎡；</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3.贵阳久泰大酒店管理有限公司名下位于贵阳市云岩区瑞金北路48号13层-17层办公用房，面积共计2301㎡。</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sz w:val="21"/>
                <w:szCs w:val="21"/>
                <w:lang w:val="en-US" w:eastAsia="zh-CN"/>
              </w:rPr>
              <w:t>王莉、陈家兵、秦忠福</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备注：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1.上述标的债权及</w:t>
      </w:r>
      <w:r>
        <w:rPr>
          <w:rFonts w:hint="eastAsia" w:ascii="宋体" w:hAnsi="宋体" w:eastAsia="宋体" w:cs="宋体"/>
          <w:i w:val="0"/>
          <w:iCs w:val="0"/>
          <w:caps w:val="0"/>
          <w:color w:val="000000"/>
          <w:spacing w:val="0"/>
          <w:sz w:val="21"/>
          <w:szCs w:val="21"/>
          <w:highlight w:val="none"/>
          <w:shd w:val="clear" w:fill="FFFFFF"/>
          <w:vertAlign w:val="baseline"/>
          <w:lang w:val="en-US" w:eastAsia="zh-CN"/>
        </w:rPr>
        <w:t>从权利</w:t>
      </w:r>
      <w:r>
        <w:rPr>
          <w:rFonts w:hint="eastAsia" w:ascii="宋体" w:hAnsi="宋体" w:eastAsia="宋体" w:cs="宋体"/>
          <w:i w:val="0"/>
          <w:iCs w:val="0"/>
          <w:caps w:val="0"/>
          <w:color w:val="000000"/>
          <w:spacing w:val="0"/>
          <w:sz w:val="21"/>
          <w:szCs w:val="21"/>
          <w:shd w:val="clear" w:fill="FFFFFF"/>
          <w:vertAlign w:val="baseline"/>
          <w:lang w:val="en-US" w:eastAsia="zh-CN"/>
        </w:rPr>
        <w:t>已获生效法律文书支持，本公告清单仅列示截至2025年8月31日的债权本金及利息等，债务人实际应支付的全部债务以债权相关协议、生效法律文书及法律法规所确定的为准。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baseline"/>
        <w:rPr>
          <w:rFonts w:hint="eastAsia" w:ascii="宋体" w:hAnsi="宋体" w:eastAsia="宋体" w:cs="宋体"/>
          <w:i w:val="0"/>
          <w:iCs w:val="0"/>
          <w:caps w:val="0"/>
          <w:color w:val="000000"/>
          <w:spacing w:val="0"/>
          <w:sz w:val="21"/>
          <w:szCs w:val="21"/>
          <w:highlight w:val="none"/>
          <w:shd w:val="clear" w:fill="FFFFFF"/>
          <w:vertAlign w:val="baseline"/>
          <w:lang w:val="en-US" w:eastAsia="zh-CN"/>
        </w:rPr>
      </w:pPr>
      <w:r>
        <w:rPr>
          <w:rFonts w:hint="eastAsia" w:ascii="宋体" w:hAnsi="宋体" w:eastAsia="宋体" w:cs="宋体"/>
          <w:i w:val="0"/>
          <w:iCs w:val="0"/>
          <w:caps w:val="0"/>
          <w:color w:val="000000"/>
          <w:spacing w:val="0"/>
          <w:sz w:val="21"/>
          <w:szCs w:val="21"/>
          <w:highlight w:val="none"/>
          <w:shd w:val="clear" w:fill="FFFFFF"/>
          <w:vertAlign w:val="baseline"/>
          <w:lang w:val="en-US" w:eastAsia="zh-CN"/>
        </w:rPr>
        <w:t>2.在交易基准日前发生的代垫费用（诉讼费、律师费等实现债权或担保物权的相关费用）不作为标的债权一并转让。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3.</w:t>
      </w:r>
      <w:r>
        <w:rPr>
          <w:rFonts w:hint="eastAsia" w:ascii="宋体" w:hAnsi="宋体" w:eastAsia="宋体" w:cs="宋体"/>
          <w:color w:val="000000"/>
          <w:sz w:val="21"/>
          <w:szCs w:val="21"/>
          <w:shd w:val="clear" w:fill="FFFFFF"/>
        </w:rPr>
        <w:t>上述债权金额及抵押物仅为一般性描述，如有错漏，以债务人、抵质押人等原已签署的交易合同、抵质押权证/抵质押登记现状和生效法律文书、司法执行现状为准。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baseline"/>
        <w:rPr>
          <w:rStyle w:val="7"/>
          <w:rFonts w:hint="eastAsia" w:ascii="黑体" w:hAnsi="黑体" w:eastAsia="黑体" w:cs="黑体"/>
          <w:b w:val="0"/>
          <w:bCs/>
          <w:i w:val="0"/>
          <w:iCs w:val="0"/>
          <w:caps w:val="0"/>
          <w:color w:val="303030"/>
          <w:spacing w:val="0"/>
          <w:sz w:val="32"/>
          <w:szCs w:val="32"/>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4.以上内容由本公司拥有最终解释权。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7"/>
          <w:rFonts w:hint="default" w:ascii="黑体" w:hAnsi="黑体" w:eastAsia="黑体" w:cs="黑体"/>
          <w:b w:val="0"/>
          <w:bCs/>
          <w:i w:val="0"/>
          <w:iCs w:val="0"/>
          <w:caps w:val="0"/>
          <w:color w:val="303030"/>
          <w:spacing w:val="0"/>
          <w:sz w:val="32"/>
          <w:szCs w:val="32"/>
          <w:shd w:val="clear" w:fill="FFFFFF"/>
          <w:vertAlign w:val="baseline"/>
          <w:lang w:val="en-US" w:eastAsia="zh-CN"/>
        </w:rPr>
      </w:pPr>
      <w:r>
        <w:rPr>
          <w:rStyle w:val="7"/>
          <w:rFonts w:hint="eastAsia" w:ascii="黑体" w:hAnsi="黑体" w:eastAsia="黑体" w:cs="黑体"/>
          <w:b w:val="0"/>
          <w:bCs/>
          <w:i w:val="0"/>
          <w:iCs w:val="0"/>
          <w:caps w:val="0"/>
          <w:color w:val="303030"/>
          <w:spacing w:val="0"/>
          <w:sz w:val="32"/>
          <w:szCs w:val="32"/>
          <w:shd w:val="clear" w:fill="FFFFFF"/>
          <w:vertAlign w:val="baseline"/>
          <w:lang w:val="en-US" w:eastAsia="zh-CN"/>
        </w:rPr>
        <w:t>二、对竞买人的资格要求</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lang w:val="en-US" w:eastAsia="zh-CN"/>
        </w:rPr>
        <w:t>1.</w:t>
      </w:r>
      <w:r>
        <w:rPr>
          <w:rFonts w:hint="eastAsia" w:ascii="仿宋_GB2312" w:eastAsia="仿宋_GB2312" w:cs="Times New Roman"/>
          <w:b/>
          <w:bCs/>
          <w:sz w:val="32"/>
          <w:szCs w:val="32"/>
          <w:highlight w:val="none"/>
          <w:lang w:val="en-US" w:eastAsia="zh-CN"/>
        </w:rPr>
        <w:t>要求竞买人信誉良好、有付款能力且交易资金来源合法，可支付债权转让价款并能承担购买资产所带来的风险（标的债权为不良资产现状转让，我方对标的债权及从权益等不作任何预期收益承诺及瑕疵担保，竞买人自行对标的债权等进行独立尽调及风险判断）</w:t>
      </w:r>
      <w:r>
        <w:rPr>
          <w:rFonts w:hint="eastAsia" w:ascii="仿宋_GB2312" w:eastAsia="仿宋_GB2312" w:cs="Times New Roman"/>
          <w:b/>
          <w:bCs/>
          <w:sz w:val="32"/>
          <w:szCs w:val="32"/>
          <w:highlight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Times New Roman"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2.竞买人</w:t>
      </w:r>
      <w:r>
        <w:rPr>
          <w:rFonts w:hint="eastAsia" w:ascii="仿宋_GB2312" w:eastAsia="仿宋_GB2312" w:cs="Times New Roman"/>
          <w:sz w:val="32"/>
          <w:szCs w:val="32"/>
          <w:highlight w:val="none"/>
        </w:rPr>
        <w:t>具有完全民事行为能力</w:t>
      </w:r>
      <w:r>
        <w:rPr>
          <w:rFonts w:hint="eastAsia" w:ascii="仿宋_GB2312" w:eastAsia="仿宋_GB2312" w:cs="Times New Roman"/>
          <w:sz w:val="32"/>
          <w:szCs w:val="32"/>
          <w:highlight w:val="none"/>
          <w:lang w:val="en-US" w:eastAsia="zh-CN"/>
        </w:rPr>
        <w:t>和</w:t>
      </w:r>
      <w:r>
        <w:rPr>
          <w:rFonts w:hint="eastAsia" w:ascii="仿宋_GB2312" w:eastAsia="仿宋_GB2312" w:cs="Times New Roman"/>
          <w:sz w:val="32"/>
          <w:szCs w:val="32"/>
          <w:highlight w:val="none"/>
        </w:rPr>
        <w:t>支付能力的法人、组织或自然人</w:t>
      </w:r>
      <w:r>
        <w:rPr>
          <w:rFonts w:hint="eastAsia" w:ascii="仿宋_GB2312" w:eastAsia="仿宋_GB2312" w:cs="Times New Roman"/>
          <w:sz w:val="32"/>
          <w:szCs w:val="32"/>
          <w:highlight w:val="none"/>
          <w:lang w:eastAsia="zh-CN"/>
        </w:rPr>
        <w:t>。</w:t>
      </w:r>
      <w:r>
        <w:rPr>
          <w:rFonts w:hint="eastAsia" w:ascii="仿宋_GB2312" w:eastAsia="仿宋_GB2312" w:cs="Times New Roman"/>
          <w:sz w:val="32"/>
          <w:szCs w:val="32"/>
          <w:highlight w:val="none"/>
          <w:lang w:val="en-US" w:eastAsia="zh-CN"/>
        </w:rPr>
        <w:t>且</w:t>
      </w:r>
      <w:r>
        <w:rPr>
          <w:rFonts w:hint="eastAsia" w:ascii="仿宋_GB2312" w:eastAsia="仿宋_GB2312" w:cs="Times New Roman"/>
          <w:b/>
          <w:bCs/>
          <w:sz w:val="32"/>
          <w:szCs w:val="32"/>
          <w:highlight w:val="none"/>
          <w:lang w:val="en-US" w:eastAsia="zh-CN"/>
        </w:rPr>
        <w:t>以下人员或机构不得购买：</w:t>
      </w:r>
      <w:r>
        <w:rPr>
          <w:rFonts w:hint="eastAsia" w:ascii="仿宋_GB2312" w:hAnsi="Times New Roman" w:eastAsia="仿宋_GB2312" w:cs="Times New Roman"/>
          <w:sz w:val="32"/>
          <w:szCs w:val="32"/>
          <w:highlight w:val="none"/>
          <w:lang w:val="en-US" w:eastAsia="zh-CN"/>
        </w:rPr>
        <w:t>国家公务员、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国家金融监督管理总局认定的其他不宜受让的主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3.竞买人竞拍成功后，需配合我方提供相关主体资料进行资格复核、合规访谈事宜（买受人为国有企业的可不开展合规访谈），并签订不违反交易条件的相关承诺书及《债权转让协议》。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4.如有优先购买权人资格的请于竞拍前向我方提交相关资料。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hAnsi="微软雅黑" w:eastAsia="仿宋_GB2312" w:cs="仿宋_GB2312"/>
          <w:i w:val="0"/>
          <w:iCs w:val="0"/>
          <w:caps w:val="0"/>
          <w:color w:val="000000"/>
          <w:spacing w:val="0"/>
          <w:sz w:val="32"/>
          <w:szCs w:val="32"/>
          <w:highlight w:val="none"/>
          <w:shd w:val="clear" w:fill="FFFFFF"/>
          <w:vertAlign w:val="baseline"/>
          <w:lang w:val="en-US" w:eastAsia="zh-CN"/>
        </w:rPr>
      </w:pPr>
      <w:r>
        <w:rPr>
          <w:rFonts w:hint="eastAsia" w:ascii="仿宋_GB2312" w:hAnsi="Times New Roman" w:eastAsia="仿宋_GB2312" w:cs="Times New Roman"/>
          <w:b/>
          <w:bCs/>
          <w:sz w:val="32"/>
          <w:szCs w:val="32"/>
          <w:highlight w:val="none"/>
          <w:lang w:val="en-US" w:eastAsia="zh-CN"/>
        </w:rPr>
        <w:t>5.因不符合条件参加竞拍的，由竞买人自行承担相应的法律责任。</w:t>
      </w:r>
      <w:r>
        <w:rPr>
          <w:rFonts w:hint="eastAsia" w:ascii="仿宋_GB2312" w:hAnsi="微软雅黑" w:eastAsia="仿宋_GB2312" w:cs="仿宋_GB2312"/>
          <w:b/>
          <w:bCs/>
          <w:i w:val="0"/>
          <w:iCs w:val="0"/>
          <w:caps w:val="0"/>
          <w:color w:val="000000"/>
          <w:spacing w:val="0"/>
          <w:sz w:val="32"/>
          <w:szCs w:val="32"/>
          <w:highlight w:val="none"/>
          <w:shd w:val="clear" w:fill="FFFFFF"/>
          <w:vertAlign w:val="baseline"/>
          <w:lang w:val="en-US" w:eastAsia="zh-CN"/>
        </w:rPr>
        <w:t>意向竞买人一经报名成功，视为知悉且认可本竞买须知全部内容并受本须知约束承担相应法律责任，如竞价成功无条件与我方签订《债权转让协议》，《债权转让协议》样本如附件且不接受修改，双方具体权利义务依照最终签署的《债权转让协议》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7"/>
          <w:rFonts w:hint="default" w:ascii="黑体" w:hAnsi="黑体" w:eastAsia="黑体" w:cs="黑体"/>
          <w:b w:val="0"/>
          <w:bCs/>
          <w:i w:val="0"/>
          <w:iCs w:val="0"/>
          <w:caps w:val="0"/>
          <w:color w:val="303030"/>
          <w:spacing w:val="0"/>
          <w:sz w:val="32"/>
          <w:szCs w:val="32"/>
          <w:shd w:val="clear" w:fill="FFFFFF"/>
          <w:vertAlign w:val="baseline"/>
          <w:lang w:val="en-US" w:eastAsia="zh-CN"/>
        </w:rPr>
      </w:pPr>
      <w:r>
        <w:rPr>
          <w:rStyle w:val="7"/>
          <w:rFonts w:hint="eastAsia" w:ascii="黑体" w:hAnsi="黑体" w:eastAsia="黑体" w:cs="黑体"/>
          <w:b w:val="0"/>
          <w:bCs/>
          <w:i w:val="0"/>
          <w:iCs w:val="0"/>
          <w:caps w:val="0"/>
          <w:color w:val="303030"/>
          <w:spacing w:val="0"/>
          <w:sz w:val="32"/>
          <w:szCs w:val="32"/>
          <w:shd w:val="clear" w:fill="FFFFFF"/>
          <w:vertAlign w:val="baseline"/>
          <w:lang w:val="en-US" w:eastAsia="zh-CN"/>
        </w:rPr>
        <w:t>三、报名与竞价保证金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7"/>
          <w:rFonts w:hint="eastAsia" w:ascii="仿宋_GB2312" w:hAnsi="微软雅黑" w:eastAsia="仿宋_GB2312" w:cs="仿宋_GB2312"/>
          <w:b w:val="0"/>
          <w:bCs/>
          <w:i w:val="0"/>
          <w:iCs w:val="0"/>
          <w:caps w:val="0"/>
          <w:color w:val="303030"/>
          <w:spacing w:val="0"/>
          <w:sz w:val="32"/>
          <w:szCs w:val="32"/>
          <w:shd w:val="clear" w:fill="FFFFFF"/>
          <w:vertAlign w:val="baseline"/>
        </w:rPr>
      </w:pPr>
      <w:r>
        <w:rPr>
          <w:rStyle w:val="7"/>
          <w:rFonts w:hint="eastAsia" w:ascii="仿宋_GB2312" w:hAnsi="微软雅黑" w:eastAsia="仿宋_GB2312" w:cs="仿宋_GB2312"/>
          <w:b w:val="0"/>
          <w:bCs/>
          <w:i w:val="0"/>
          <w:iCs w:val="0"/>
          <w:caps w:val="0"/>
          <w:color w:val="303030"/>
          <w:spacing w:val="0"/>
          <w:sz w:val="32"/>
          <w:szCs w:val="32"/>
          <w:shd w:val="clear" w:fill="FFFFFF"/>
          <w:vertAlign w:val="baseline"/>
        </w:rPr>
        <w:t>竞买人在竞买前登录京东拍卖网</w:t>
      </w:r>
      <w:r>
        <w:rPr>
          <w:rStyle w:val="7"/>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报名并</w:t>
      </w:r>
      <w:r>
        <w:rPr>
          <w:rStyle w:val="7"/>
          <w:rFonts w:hint="eastAsia" w:ascii="仿宋_GB2312" w:hAnsi="微软雅黑" w:eastAsia="仿宋_GB2312" w:cs="仿宋_GB2312"/>
          <w:b w:val="0"/>
          <w:bCs/>
          <w:i w:val="0"/>
          <w:iCs w:val="0"/>
          <w:caps w:val="0"/>
          <w:color w:val="303030"/>
          <w:spacing w:val="0"/>
          <w:sz w:val="32"/>
          <w:szCs w:val="32"/>
          <w:shd w:val="clear" w:fill="FFFFFF"/>
          <w:vertAlign w:val="baseline"/>
        </w:rPr>
        <w:t>缴纳保证金</w:t>
      </w:r>
      <w:r>
        <w:rPr>
          <w:rStyle w:val="7"/>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不低于300万元，公告期内由受理竞买人报名资格审查，资格审查通过并缴纳保证金后视为报名成功</w:t>
      </w:r>
      <w:r>
        <w:rPr>
          <w:rStyle w:val="7"/>
          <w:rFonts w:hint="eastAsia" w:ascii="仿宋_GB2312" w:hAnsi="微软雅黑" w:eastAsia="仿宋_GB2312" w:cs="仿宋_GB2312"/>
          <w:b w:val="0"/>
          <w:bCs/>
          <w:i w:val="0"/>
          <w:iCs w:val="0"/>
          <w:caps w:val="0"/>
          <w:color w:val="303030"/>
          <w:spacing w:val="0"/>
          <w:sz w:val="32"/>
          <w:szCs w:val="32"/>
          <w:shd w:val="clear" w:fill="FFFFFF"/>
          <w:vertAlign w:val="baseli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7"/>
          <w:rFonts w:hint="eastAsia" w:ascii="仿宋_GB2312" w:hAnsi="微软雅黑" w:eastAsia="仿宋_GB2312" w:cs="仿宋_GB2312"/>
          <w:b w:val="0"/>
          <w:bCs/>
          <w:i w:val="0"/>
          <w:iCs w:val="0"/>
          <w:caps w:val="0"/>
          <w:color w:val="303030"/>
          <w:spacing w:val="0"/>
          <w:sz w:val="32"/>
          <w:szCs w:val="32"/>
          <w:shd w:val="clear" w:fill="FFFFFF"/>
          <w:vertAlign w:val="baseline"/>
        </w:rPr>
      </w:pPr>
      <w:r>
        <w:rPr>
          <w:rStyle w:val="7"/>
          <w:rFonts w:hint="eastAsia" w:ascii="仿宋_GB2312" w:hAnsi="微软雅黑" w:eastAsia="仿宋_GB2312" w:cs="仿宋_GB2312"/>
          <w:b w:val="0"/>
          <w:bCs/>
          <w:i w:val="0"/>
          <w:iCs w:val="0"/>
          <w:caps w:val="0"/>
          <w:color w:val="303030"/>
          <w:spacing w:val="0"/>
          <w:sz w:val="32"/>
          <w:szCs w:val="32"/>
          <w:shd w:val="clear" w:fill="FFFFFF"/>
          <w:vertAlign w:val="baseline"/>
        </w:rPr>
        <w:t>若竞买人竞价成功，保证金</w:t>
      </w:r>
      <w:r>
        <w:rPr>
          <w:rStyle w:val="7"/>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可冲抵</w:t>
      </w:r>
      <w:r>
        <w:rPr>
          <w:rStyle w:val="7"/>
          <w:rFonts w:hint="eastAsia" w:ascii="仿宋_GB2312" w:hAnsi="微软雅黑" w:eastAsia="仿宋_GB2312" w:cs="仿宋_GB2312"/>
          <w:b w:val="0"/>
          <w:bCs/>
          <w:i w:val="0"/>
          <w:iCs w:val="0"/>
          <w:caps w:val="0"/>
          <w:color w:val="303030"/>
          <w:spacing w:val="0"/>
          <w:sz w:val="32"/>
          <w:szCs w:val="32"/>
          <w:shd w:val="clear" w:fill="FFFFFF"/>
          <w:vertAlign w:val="baseline"/>
        </w:rPr>
        <w:t>成交价款，竞买人仅需将剩余成交价款在规定时间内划转至我方账户即可</w:t>
      </w:r>
      <w:r>
        <w:rPr>
          <w:rStyle w:val="7"/>
          <w:rFonts w:hint="eastAsia" w:ascii="仿宋_GB2312" w:hAnsi="微软雅黑" w:eastAsia="仿宋_GB2312" w:cs="仿宋_GB2312"/>
          <w:b w:val="0"/>
          <w:bCs/>
          <w:i w:val="0"/>
          <w:iCs w:val="0"/>
          <w:caps w:val="0"/>
          <w:color w:val="303030"/>
          <w:spacing w:val="0"/>
          <w:sz w:val="32"/>
          <w:szCs w:val="32"/>
          <w:shd w:val="clear" w:fill="FFFFFF"/>
          <w:vertAlign w:val="baseline"/>
          <w:lang w:eastAsia="zh-CN"/>
        </w:rPr>
        <w:t>；</w:t>
      </w:r>
      <w:r>
        <w:rPr>
          <w:rStyle w:val="7"/>
          <w:rFonts w:hint="eastAsia" w:ascii="仿宋_GB2312" w:hAnsi="微软雅黑" w:eastAsia="仿宋_GB2312" w:cs="仿宋_GB2312"/>
          <w:b w:val="0"/>
          <w:bCs/>
          <w:i w:val="0"/>
          <w:iCs w:val="0"/>
          <w:caps w:val="0"/>
          <w:color w:val="303030"/>
          <w:spacing w:val="0"/>
          <w:sz w:val="32"/>
          <w:szCs w:val="32"/>
          <w:shd w:val="clear" w:fill="FFFFFF"/>
          <w:vertAlign w:val="baseline"/>
        </w:rPr>
        <w:t>若</w:t>
      </w:r>
      <w:r>
        <w:rPr>
          <w:rStyle w:val="7"/>
          <w:rFonts w:hint="eastAsia" w:ascii="仿宋_GB2312" w:hAnsi="微软雅黑" w:eastAsia="仿宋_GB2312" w:cs="仿宋_GB2312"/>
          <w:b w:val="0"/>
          <w:bCs w:val="0"/>
          <w:color w:val="303030"/>
          <w:sz w:val="32"/>
          <w:szCs w:val="32"/>
          <w:shd w:val="clear" w:fill="FFFFFF"/>
          <w:lang w:eastAsia="zh-CN"/>
        </w:rPr>
        <w:t>竞</w:t>
      </w:r>
      <w:r>
        <w:rPr>
          <w:rStyle w:val="7"/>
          <w:rFonts w:ascii="仿宋_GB2312" w:hAnsi="微软雅黑" w:eastAsia="仿宋_GB2312" w:cs="仿宋_GB2312"/>
          <w:b w:val="0"/>
          <w:bCs w:val="0"/>
          <w:color w:val="303030"/>
          <w:sz w:val="32"/>
          <w:szCs w:val="32"/>
          <w:shd w:val="clear" w:fill="FFFFFF"/>
        </w:rPr>
        <w:t>买人竞价失败</w:t>
      </w:r>
      <w:r>
        <w:rPr>
          <w:rStyle w:val="7"/>
          <w:rFonts w:hint="eastAsia" w:ascii="仿宋_GB2312" w:hAnsi="微软雅黑" w:eastAsia="仿宋_GB2312" w:cs="仿宋_GB2312"/>
          <w:b w:val="0"/>
          <w:bCs/>
          <w:i w:val="0"/>
          <w:iCs w:val="0"/>
          <w:caps w:val="0"/>
          <w:color w:val="303030"/>
          <w:spacing w:val="0"/>
          <w:sz w:val="32"/>
          <w:szCs w:val="32"/>
          <w:shd w:val="clear" w:fill="FFFFFF"/>
          <w:vertAlign w:val="baseline"/>
        </w:rPr>
        <w:t>，则将保证金</w:t>
      </w:r>
      <w:r>
        <w:rPr>
          <w:rStyle w:val="7"/>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原路无息</w:t>
      </w:r>
      <w:r>
        <w:rPr>
          <w:rStyle w:val="7"/>
          <w:rFonts w:hint="eastAsia" w:ascii="仿宋_GB2312" w:hAnsi="微软雅黑" w:eastAsia="仿宋_GB2312" w:cs="仿宋_GB2312"/>
          <w:b w:val="0"/>
          <w:bCs/>
          <w:i w:val="0"/>
          <w:iCs w:val="0"/>
          <w:caps w:val="0"/>
          <w:color w:val="303030"/>
          <w:spacing w:val="0"/>
          <w:sz w:val="32"/>
          <w:szCs w:val="32"/>
          <w:shd w:val="clear" w:fill="FFFFFF"/>
          <w:vertAlign w:val="baseline"/>
        </w:rPr>
        <w:t>退回。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7"/>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7"/>
          <w:rFonts w:hint="eastAsia" w:ascii="黑体" w:hAnsi="黑体" w:eastAsia="黑体" w:cs="黑体"/>
          <w:b w:val="0"/>
          <w:bCs/>
          <w:i w:val="0"/>
          <w:iCs w:val="0"/>
          <w:caps w:val="0"/>
          <w:color w:val="303030"/>
          <w:spacing w:val="0"/>
          <w:sz w:val="32"/>
          <w:szCs w:val="32"/>
          <w:shd w:val="clear" w:fill="FFFFFF"/>
          <w:vertAlign w:val="baseline"/>
          <w:lang w:val="en-US" w:eastAsia="zh-CN"/>
        </w:rPr>
        <w:t>四、竞价时间及竞价规则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eastAsia="仿宋_GB2312" w:cs="Times New Roman"/>
          <w:sz w:val="32"/>
          <w:szCs w:val="32"/>
          <w:highlight w:val="none"/>
          <w:lang w:val="en-US" w:eastAsia="zh-CN"/>
        </w:rPr>
        <w:t>2025年12月20日上午9:00起至2025年12月21日上午9：00止</w:t>
      </w:r>
      <w:r>
        <w:rPr>
          <w:rFonts w:hint="eastAsia" w:ascii="仿宋_GB2312" w:hAnsi="微软雅黑" w:eastAsia="仿宋_GB2312" w:cs="仿宋_GB2312"/>
          <w:i w:val="0"/>
          <w:iCs w:val="0"/>
          <w:caps w:val="0"/>
          <w:color w:val="303030"/>
          <w:spacing w:val="0"/>
          <w:sz w:val="32"/>
          <w:szCs w:val="32"/>
          <w:highlight w:val="none"/>
          <w:shd w:val="clear" w:fill="FFFFFF"/>
          <w:vertAlign w:val="baseline"/>
        </w:rPr>
        <w:t>（延时除外，届时正式竞价开始时间以京东网络电子竞价系统时间为准）</w:t>
      </w:r>
      <w:r>
        <w:rPr>
          <w:rFonts w:hint="eastAsia" w:ascii="仿宋_GB2312" w:hAnsi="微软雅黑" w:eastAsia="仿宋_GB2312" w:cs="仿宋_GB2312"/>
          <w:i w:val="0"/>
          <w:iCs w:val="0"/>
          <w:caps w:val="0"/>
          <w:color w:val="303030"/>
          <w:spacing w:val="0"/>
          <w:sz w:val="32"/>
          <w:szCs w:val="32"/>
          <w:highlight w:val="none"/>
          <w:shd w:val="clear" w:fill="FFFFFF"/>
          <w:vertAlign w:val="baseline"/>
          <w:lang w:eastAsia="zh-CN"/>
        </w:rPr>
        <w:t>，</w:t>
      </w: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具体规则如下：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7"/>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7"/>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1.从起始价开始以递增出价方式竞价，每次加价幅度为10万元。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7"/>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7"/>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2.网络竞价时间为24小时，竞价程序结束前5分钟无人出价的，最后出价即为成交价；有出价的，竞拍时间自该出价时点顺延5分钟。竞买人的出价时间以京东拍卖网系统时间为准。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7"/>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7"/>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3.在公告期满后，若只有一个符合条件的意向受让方竞价时，在竞价结束后按照公告程序补登公告，公告3个工作日后，如确定没有新的竞价者参加竞价才能成交，如有新的意向竞价者则视情况重新组织竞价。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7"/>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7"/>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4.保留价对外不公开，最终竞拍价高于或等于保留价方可成交，截至公告期满仍未有意向人报名成功或无人报名，则视为本次竞价失败。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7"/>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7"/>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5.本次网络竞价服务费由受让方承担向京东平台支付，具体以京东公示收费标准为准。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7"/>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7"/>
          <w:rFonts w:hint="eastAsia" w:ascii="黑体" w:hAnsi="黑体" w:eastAsia="黑体" w:cs="黑体"/>
          <w:b w:val="0"/>
          <w:bCs/>
          <w:i w:val="0"/>
          <w:iCs w:val="0"/>
          <w:caps w:val="0"/>
          <w:color w:val="303030"/>
          <w:spacing w:val="0"/>
          <w:sz w:val="32"/>
          <w:szCs w:val="32"/>
          <w:shd w:val="clear" w:fill="FFFFFF"/>
          <w:vertAlign w:val="baseline"/>
          <w:lang w:val="en-US" w:eastAsia="zh-CN"/>
        </w:rPr>
        <w:t>五、签约付款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线上竞价成功当日，竞买人（受让人本人，或者受让方的法定代表人、实际控制人或授权代理人）须凭京东拍卖网出具的《项目成交通知书》及身份证明材料来我方，配合我方开展线下合规访谈（国有企业可不开展），《合规访谈问卷》签字确认后，方可与我方签订《债权转让协议》。买受人应在线上竞价成功后7个工作日内与我方签订《竞价成功确认书》及《债权转让协议》。付款方式为一次性支付，应在《债权转让协议》签订后5个工作日内将成交价款一次性缴入我方指定账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7"/>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7"/>
          <w:rFonts w:hint="eastAsia" w:ascii="黑体" w:hAnsi="黑体" w:eastAsia="黑体" w:cs="黑体"/>
          <w:b w:val="0"/>
          <w:bCs/>
          <w:i w:val="0"/>
          <w:iCs w:val="0"/>
          <w:caps w:val="0"/>
          <w:color w:val="303030"/>
          <w:spacing w:val="0"/>
          <w:sz w:val="32"/>
          <w:szCs w:val="32"/>
          <w:shd w:val="clear" w:fill="FFFFFF"/>
          <w:vertAlign w:val="baseline"/>
          <w:lang w:val="en-US" w:eastAsia="zh-CN"/>
        </w:rPr>
        <w:t>六、违约事项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若竞买人竞价失败我方则将保证金（不计算利息）退回至其账户。若竞买人竞价成功后未按期支付尾款，保证金作为违约金不予退回。线上竞价成功当日，竞买人（受让人本人，或者受让方的法定代表人、实际控制人或授权代理人）须凭京东拍卖网出具的《项目成交通知书》及身份证明材料来我方，配合我方开展线下合规访谈（国有企业可不开展），《合规访谈问卷》签字确认后，可与我方签订《债权转让协议》。若竞价成功后竞买人拒绝资格复核、拒绝与我方合规访谈或拒绝签订《债权转让协议》、以及未按期支付尾款的，我方有权取消受让人资格，并收取其已缴纳的保证金作为违约金（不包含竞价成交后受让人应向网络平台支付的交易服务费，交易服务费由受让人按照网络平台的要求另行缴纳）。若买受人未按合同约定支付债权转让价款，我方有权另行处置标的债权；若另行处置价格低于与本次公开竞价成交价格，则原买受人应补足此差额，并承担另行处置资产所产生的费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七、重大事项与瑕疵披露</w:t>
      </w:r>
    </w:p>
    <w:p>
      <w:pPr>
        <w:keepNext w:val="0"/>
        <w:keepLines w:val="0"/>
        <w:pageBreakBefore w:val="0"/>
        <w:numPr>
          <w:ins w:id="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就标的债权转让事宜，特向竞买人作出如下风险提示，竞买人对以下风险表示完全知晓并自愿承担由此可能发生的不利法律或其他后果：</w:t>
      </w:r>
    </w:p>
    <w:p>
      <w:pPr>
        <w:keepNext w:val="0"/>
        <w:keepLines w:val="0"/>
        <w:pageBreakBefore w:val="0"/>
        <w:numPr>
          <w:ins w:id="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可能因法律或政策的不明朗，在竞买人受让后以其名义向法院或仲裁机构提起诉讼或仲裁、申请变更诉讼或执行主体时，该等法院或仲裁机构可能不予受理、不予审理、不予支持、不予变更、不予执行等致使竞买人权利难以行使或落空的风险。</w:t>
      </w:r>
    </w:p>
    <w:p>
      <w:pPr>
        <w:keepNext w:val="0"/>
        <w:keepLines w:val="0"/>
        <w:pageBreakBefore w:val="0"/>
        <w:numPr>
          <w:ins w:id="2"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标的债权可能存在着瑕疵或尚未发现的重大缺陷，以至于竞买人预期利益无法最终实现，我方对标的债权不承担法律上的合法性、有效性等瑕疵担保责任，相关风险买受人自行研判。</w:t>
      </w:r>
    </w:p>
    <w:p>
      <w:pPr>
        <w:keepNext w:val="0"/>
        <w:keepLines w:val="0"/>
        <w:pageBreakBefore w:val="0"/>
        <w:numPr>
          <w:ins w:id="3"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标的债权可能因存在计算误差或发生变动等，从而导致竞买人实际接收的标的债权金额与本公告表述标的债权金额不完全一致。</w:t>
      </w:r>
    </w:p>
    <w:p>
      <w:pPr>
        <w:keepNext w:val="0"/>
        <w:keepLines w:val="0"/>
        <w:pageBreakBefore w:val="0"/>
        <w:numPr>
          <w:ins w:id="4"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标的债权及其从权利可能存在的瑕疵或重大缺陷包括但不限于下列一项或多项，需竞买人自行了解判断：</w:t>
      </w:r>
    </w:p>
    <w:p>
      <w:pPr>
        <w:keepNext w:val="0"/>
        <w:keepLines w:val="0"/>
        <w:pageBreakBefore w:val="0"/>
        <w:numPr>
          <w:ins w:id="5"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1.与标的债权相关的债务人或担保人或其他责任主体可能存在破产、被解散、被撤销、被注销、被吊销、歇业、被关闭、下落不明以及其他主体存续瑕疵的情形；</w:t>
      </w:r>
    </w:p>
    <w:p>
      <w:pPr>
        <w:keepNext w:val="0"/>
        <w:keepLines w:val="0"/>
        <w:pageBreakBefore w:val="0"/>
        <w:numPr>
          <w:ins w:id="6"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2.标的债权可能存在未生效、无效或被撤销的情形；</w:t>
      </w:r>
    </w:p>
    <w:p>
      <w:pPr>
        <w:keepNext w:val="0"/>
        <w:keepLines w:val="0"/>
        <w:pageBreakBefore w:val="0"/>
        <w:numPr>
          <w:ins w:id="7"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3.标的债权可能已超过诉讼时效或丧失相关的法定期间或因其他原因已部分消灭或成为自然债；</w:t>
      </w:r>
    </w:p>
    <w:p>
      <w:pPr>
        <w:keepNext w:val="0"/>
        <w:keepLines w:val="0"/>
        <w:pageBreakBefore w:val="0"/>
        <w:numPr>
          <w:ins w:id="8"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4.标的债权附属的担保协议可能虚假、不能依法成立或者生效、无效或被撤销，担保人不承担全部担保责任或只承担部分担保责任；</w:t>
      </w:r>
    </w:p>
    <w:p>
      <w:pPr>
        <w:keepNext w:val="0"/>
        <w:keepLines w:val="0"/>
        <w:pageBreakBefore w:val="0"/>
        <w:numPr>
          <w:ins w:id="9"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5.标的债权附属的保证协议（如有）可能约定主债权不可转让或只对特定债权人承担保证责任；</w:t>
      </w:r>
    </w:p>
    <w:p>
      <w:pPr>
        <w:keepNext w:val="0"/>
        <w:keepLines w:val="0"/>
        <w:pageBreakBefore w:val="0"/>
        <w:numPr>
          <w:ins w:id="1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6.标的债权的保证担保（如有）在保证协议约定或法律规定的保证期间内可能因没有向债务人或保证人主张权利，而造成保证人不再承担保证责任或免责；</w:t>
      </w:r>
    </w:p>
    <w:p>
      <w:pPr>
        <w:keepNext w:val="0"/>
        <w:keepLines w:val="0"/>
        <w:pageBreakBefore w:val="0"/>
        <w:numPr>
          <w:ins w:id="1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7.标的债权的保证可能已过诉讼时效；</w:t>
      </w:r>
    </w:p>
    <w:p>
      <w:pPr>
        <w:keepNext w:val="0"/>
        <w:keepLines w:val="0"/>
        <w:pageBreakBefore w:val="0"/>
        <w:numPr>
          <w:ins w:id="12"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8.标的债权的担保物权在主债权诉讼时效完成后可能未予行使；</w:t>
      </w:r>
    </w:p>
    <w:p>
      <w:pPr>
        <w:keepNext w:val="0"/>
        <w:keepLines w:val="0"/>
        <w:pageBreakBefore w:val="0"/>
        <w:numPr>
          <w:ins w:id="13"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9.标的债权的担保物权可能因担保物灭失而消灭，可能因案外人主张权益而被法院排除执行且没有代位物或其他物上代位权可行使；</w:t>
      </w:r>
    </w:p>
    <w:p>
      <w:pPr>
        <w:keepNext w:val="0"/>
        <w:keepLines w:val="0"/>
        <w:pageBreakBefore w:val="0"/>
        <w:numPr>
          <w:ins w:id="14"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10.标的债权的抵押物可能实际不存在，抵押物重复抵押，抵押协议实际未生效，抵押担保应办理抵押登记而未办理；或因动产抵押协议未办理登记而抵押物已为第三人善意取得；</w:t>
      </w:r>
    </w:p>
    <w:p>
      <w:pPr>
        <w:keepNext w:val="0"/>
        <w:keepLines w:val="0"/>
        <w:pageBreakBefore w:val="0"/>
        <w:numPr>
          <w:ins w:id="15"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11.标的债权及其附属的最高额抵押（如有），可能因最高额抵押的决算期未届满而发生一次或数次转让，从而可能造成抵押权甚至主债权落空的风险；</w:t>
      </w:r>
    </w:p>
    <w:p>
      <w:pPr>
        <w:keepNext w:val="0"/>
        <w:keepLines w:val="0"/>
        <w:pageBreakBefore w:val="0"/>
        <w:numPr>
          <w:ins w:id="16"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12.部分标的债权可能已被全部或部分减免、被抵销、被清偿；</w:t>
      </w:r>
    </w:p>
    <w:p>
      <w:pPr>
        <w:keepNext w:val="0"/>
        <w:keepLines w:val="0"/>
        <w:pageBreakBefore w:val="0"/>
        <w:numPr>
          <w:ins w:id="17"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13.已经进入诉讼程序的标的债权可能存在因超过法定上诉期限、申请执行期限而无法获得法律保护；</w:t>
      </w:r>
    </w:p>
    <w:p>
      <w:pPr>
        <w:keepNext w:val="0"/>
        <w:keepLines w:val="0"/>
        <w:pageBreakBefore w:val="0"/>
        <w:numPr>
          <w:ins w:id="18"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pPr>
        <w:keepNext w:val="0"/>
        <w:keepLines w:val="0"/>
        <w:pageBreakBefore w:val="0"/>
        <w:numPr>
          <w:ins w:id="19"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15.已经进入诉讼程序的不良资产债权，可能存在由于转让方未能在法律规定的期限内申请继续查封而导致对债务人的资产失去控制；</w:t>
      </w:r>
    </w:p>
    <w:p>
      <w:pPr>
        <w:keepNext w:val="0"/>
        <w:keepLines w:val="0"/>
        <w:pageBreakBefore w:val="0"/>
        <w:numPr>
          <w:ins w:id="2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16.标的债权在交易基准日后仍会发生变化；</w:t>
      </w:r>
    </w:p>
    <w:p>
      <w:pPr>
        <w:keepNext w:val="0"/>
        <w:keepLines w:val="0"/>
        <w:pageBreakBefore w:val="0"/>
        <w:numPr>
          <w:ins w:id="2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17.主从债权证明文件仅为复印件，或者主从债权证明文件存在缺失、不完整或内容冲突等相关情形；随标的债权一并转让的垫付费用（如有）等可能缺少相关票据文件等而不被法院或仲裁机构支持，致使该部分债权无法实现；</w:t>
      </w:r>
    </w:p>
    <w:p>
      <w:pPr>
        <w:keepNext w:val="0"/>
        <w:keepLines w:val="0"/>
        <w:pageBreakBefore w:val="0"/>
        <w:numPr>
          <w:ins w:id="22"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18.原债权人未就标的债权的转让通知债务人使得债权转让尚未对债务人发生法律效力；</w:t>
      </w:r>
    </w:p>
    <w:p>
      <w:pPr>
        <w:keepNext w:val="0"/>
        <w:keepLines w:val="0"/>
        <w:pageBreakBefore w:val="0"/>
        <w:numPr>
          <w:ins w:id="23"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19.可能存在诉讼或执行主体无法变更、利息无法得到支持以及因前手无法提供资料等原因导致无法启动或者推进司法追偿程序等瑕疵；</w:t>
      </w:r>
    </w:p>
    <w:p>
      <w:pPr>
        <w:keepNext w:val="0"/>
        <w:keepLines w:val="0"/>
        <w:pageBreakBefore w:val="0"/>
        <w:numPr>
          <w:ins w:id="24"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20.债务人、共同债务人可能存在其他涉诉、涉执、列入失信被执行人名单等情形；</w:t>
      </w:r>
    </w:p>
    <w:p>
      <w:pPr>
        <w:keepNext w:val="0"/>
        <w:keepLines w:val="0"/>
        <w:pageBreakBefore w:val="0"/>
        <w:numPr>
          <w:ins w:id="25" w:author="庞海伦" w:date=""/>
        </w:numPr>
        <w:kinsoku/>
        <w:overflowPunct/>
        <w:topLinePunct w:val="0"/>
        <w:autoSpaceDE/>
        <w:autoSpaceDN/>
        <w:bidi w:val="0"/>
        <w:adjustRightInd/>
        <w:snapToGrid/>
        <w:spacing w:line="600" w:lineRule="exact"/>
        <w:ind w:firstLine="640" w:firstLineChars="200"/>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21.部分抵押物已通过司法拍卖处置，已实现了部分抵押权；</w:t>
      </w:r>
    </w:p>
    <w:p>
      <w:pPr>
        <w:keepNext w:val="0"/>
        <w:keepLines w:val="0"/>
        <w:pageBreakBefore w:val="0"/>
        <w:numPr>
          <w:ins w:id="26" w:author="庞海伦" w:date=""/>
        </w:numPr>
        <w:kinsoku/>
        <w:overflowPunct/>
        <w:topLinePunct w:val="0"/>
        <w:autoSpaceDE/>
        <w:autoSpaceDN/>
        <w:bidi w:val="0"/>
        <w:adjustRightInd/>
        <w:snapToGrid/>
        <w:spacing w:line="600" w:lineRule="exact"/>
        <w:ind w:firstLine="640" w:firstLineChars="200"/>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22.抵押权等从权益可能存在影响权益实现的瑕疵以生效法律文书、现有抵押登记情况、资产现状并结合执行案件实际确认；</w:t>
      </w:r>
    </w:p>
    <w:p>
      <w:pPr>
        <w:keepNext w:val="0"/>
        <w:keepLines w:val="0"/>
        <w:pageBreakBefore w:val="0"/>
        <w:numPr>
          <w:ins w:id="27" w:author="庞海伦" w:date=""/>
        </w:numPr>
        <w:kinsoku/>
        <w:overflowPunct/>
        <w:topLinePunct w:val="0"/>
        <w:autoSpaceDE/>
        <w:autoSpaceDN/>
        <w:bidi w:val="0"/>
        <w:adjustRightInd/>
        <w:snapToGrid/>
        <w:spacing w:line="600" w:lineRule="exact"/>
        <w:ind w:firstLine="640" w:firstLineChars="200"/>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23.部分抵押物、查封物存在租赁、占用等情形，可能影响抵押权的优先受偿；</w:t>
      </w:r>
    </w:p>
    <w:p>
      <w:pPr>
        <w:keepNext w:val="0"/>
        <w:keepLines w:val="0"/>
        <w:pageBreakBefore w:val="0"/>
        <w:numPr>
          <w:ins w:id="28"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24.基准日债权金额为一般性描述，标的债权可能因冲抵顺序、计算误差、司法执行现状等原因造成债权金额发生变化；</w:t>
      </w:r>
    </w:p>
    <w:p>
      <w:pPr>
        <w:keepNext w:val="0"/>
        <w:keepLines w:val="0"/>
        <w:pageBreakBefore w:val="0"/>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25.标的债权申请司法执行后，部分财产线索进行查封，查封期限、查封资产现状、是否具备可执行性，买受人自行了解、判断；</w:t>
      </w:r>
    </w:p>
    <w:p>
      <w:pPr>
        <w:keepNext w:val="0"/>
        <w:keepLines w:val="0"/>
        <w:pageBreakBefore w:val="0"/>
        <w:numPr>
          <w:ins w:id="29"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26.标的债权及其从权利的其他瑕疵或重大缺陷。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其他事项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1.本债权项目存在风险及瑕疵请竞买人与项目经办人联系，自行对该项目情况进行尽职调查，自行评判购买风险。</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color w:val="000000"/>
          <w:sz w:val="32"/>
          <w:szCs w:val="32"/>
          <w:lang w:val="en-US" w:eastAsia="zh-CN"/>
        </w:rPr>
        <w:t>交易相关税费由买卖双方按照有关法律规定各自承担，</w:t>
      </w:r>
      <w:r>
        <w:rPr>
          <w:rFonts w:hint="eastAsia" w:ascii="仿宋_GB2312" w:hAnsi="仿宋_GB2312" w:eastAsia="仿宋_GB2312" w:cs="仿宋_GB2312"/>
          <w:i w:val="0"/>
          <w:iCs w:val="0"/>
          <w:color w:val="000000"/>
          <w:kern w:val="0"/>
          <w:sz w:val="32"/>
          <w:szCs w:val="32"/>
          <w:u w:val="none"/>
          <w:lang w:val="en-US" w:eastAsia="zh-CN" w:bidi="ar"/>
        </w:rPr>
        <w:t>交易服务费由竞买人承担，如交易不成功，则不产生任何费用。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3.受让方不得折价转让给原债务人及关联企业等利益相关方等限制条件。</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sz w:val="32"/>
          <w:szCs w:val="32"/>
          <w:lang w:val="en-US" w:eastAsia="zh-CN"/>
        </w:rPr>
        <w:t>咨询电话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0851-85530363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sz w:val="32"/>
          <w:szCs w:val="32"/>
        </w:rPr>
      </w:pPr>
      <w:r>
        <w:rPr>
          <w:rFonts w:hint="eastAsia" w:ascii="仿宋_GB2312" w:hAnsi="仿宋_GB2312" w:eastAsia="仿宋_GB2312" w:cs="仿宋_GB2312"/>
          <w:sz w:val="32"/>
          <w:szCs w:val="32"/>
        </w:rPr>
        <w:t>地址：贵州省</w:t>
      </w:r>
      <w:r>
        <w:rPr>
          <w:rFonts w:hint="eastAsia" w:ascii="仿宋_GB2312" w:eastAsia="仿宋_GB2312"/>
          <w:sz w:val="32"/>
          <w:szCs w:val="32"/>
        </w:rPr>
        <w:t>贵阳市新华路102号富中商务大厦2</w:t>
      </w:r>
      <w:r>
        <w:rPr>
          <w:rFonts w:hint="eastAsia" w:ascii="仿宋_GB2312" w:eastAsia="仿宋_GB2312"/>
          <w:sz w:val="32"/>
          <w:szCs w:val="32"/>
          <w:lang w:val="en-US" w:eastAsia="zh-CN"/>
        </w:rPr>
        <w:t>0</w:t>
      </w:r>
      <w:r>
        <w:rPr>
          <w:rFonts w:hint="eastAsia" w:ascii="仿宋_GB2312" w:eastAsia="仿宋_GB2312"/>
          <w:sz w:val="32"/>
          <w:szCs w:val="32"/>
        </w:rPr>
        <w:t>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hAnsi="仿宋_GB2312" w:eastAsia="仿宋_GB2312" w:cs="仿宋_GB2312"/>
          <w:b/>
          <w:bCs/>
          <w:color w:val="000000"/>
          <w:sz w:val="32"/>
          <w:szCs w:val="32"/>
          <w:shd w:val="clear" w:color="auto" w:fill="FFFFFF"/>
          <w:lang w:val="en-US" w:eastAsia="zh-CN"/>
        </w:rPr>
      </w:pPr>
      <w:r>
        <w:rPr>
          <w:rFonts w:hint="eastAsia" w:ascii="仿宋_GB2312" w:hAnsi="微软雅黑" w:eastAsia="仿宋_GB2312" w:cs="仿宋_GB2312"/>
          <w:b/>
          <w:bCs/>
          <w:i w:val="0"/>
          <w:iCs w:val="0"/>
          <w:caps w:val="0"/>
          <w:color w:val="000000"/>
          <w:spacing w:val="0"/>
          <w:sz w:val="32"/>
          <w:szCs w:val="32"/>
          <w:highlight w:val="none"/>
          <w:shd w:val="clear" w:fill="FFFFFF"/>
          <w:vertAlign w:val="baseline"/>
          <w:lang w:val="en-US" w:eastAsia="zh-CN"/>
        </w:rPr>
        <w:t>本公司对上述内容具有最终解释权。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375"/>
        <w:jc w:val="right"/>
        <w:textAlignment w:val="baseline"/>
        <w:rPr>
          <w:rStyle w:val="7"/>
          <w:rFonts w:hint="eastAsia" w:ascii="仿宋_GB2312" w:hAnsi="微软雅黑" w:eastAsia="仿宋_GB2312" w:cs="仿宋_GB2312"/>
          <w:b w:val="0"/>
          <w:bCs w:val="0"/>
          <w:i w:val="0"/>
          <w:iCs w:val="0"/>
          <w:caps w:val="0"/>
          <w:color w:val="303030"/>
          <w:spacing w:val="0"/>
          <w:sz w:val="32"/>
          <w:szCs w:val="32"/>
          <w:shd w:val="clear" w:fill="FFFFFF"/>
          <w:vertAlign w:val="baseli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375"/>
        <w:jc w:val="right"/>
        <w:textAlignment w:val="baseline"/>
        <w:rPr>
          <w:rStyle w:val="7"/>
          <w:rFonts w:hint="eastAsia" w:ascii="仿宋_GB2312" w:hAnsi="微软雅黑" w:eastAsia="仿宋_GB2312" w:cs="仿宋_GB2312"/>
          <w:b w:val="0"/>
          <w:bCs w:val="0"/>
          <w:i w:val="0"/>
          <w:iCs w:val="0"/>
          <w:caps w:val="0"/>
          <w:color w:val="303030"/>
          <w:spacing w:val="0"/>
          <w:sz w:val="32"/>
          <w:szCs w:val="32"/>
          <w:shd w:val="clear" w:fill="FFFFFF"/>
          <w:vertAlign w:val="baseli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375"/>
        <w:jc w:val="right"/>
        <w:textAlignment w:val="baseline"/>
        <w:rPr>
          <w:rFonts w:hint="eastAsia" w:eastAsia="仿宋_GB2312"/>
          <w:b w:val="0"/>
          <w:bCs w:val="0"/>
          <w:color w:val="666666"/>
          <w:sz w:val="32"/>
          <w:szCs w:val="32"/>
          <w:lang w:eastAsia="zh-CN"/>
        </w:rPr>
      </w:pPr>
      <w:r>
        <w:rPr>
          <w:rStyle w:val="7"/>
          <w:rFonts w:hint="eastAsia" w:ascii="仿宋_GB2312" w:hAnsi="微软雅黑" w:eastAsia="仿宋_GB2312" w:cs="仿宋_GB2312"/>
          <w:b w:val="0"/>
          <w:bCs w:val="0"/>
          <w:i w:val="0"/>
          <w:iCs w:val="0"/>
          <w:caps w:val="0"/>
          <w:color w:val="303030"/>
          <w:spacing w:val="0"/>
          <w:sz w:val="32"/>
          <w:szCs w:val="32"/>
          <w:shd w:val="clear" w:fill="FFFFFF"/>
          <w:vertAlign w:val="baseline"/>
        </w:rPr>
        <w:t>中国</w:t>
      </w:r>
      <w:r>
        <w:rPr>
          <w:rStyle w:val="7"/>
          <w:rFonts w:hint="eastAsia" w:ascii="仿宋_GB2312" w:hAnsi="微软雅黑" w:eastAsia="仿宋_GB2312" w:cs="仿宋_GB2312"/>
          <w:b w:val="0"/>
          <w:bCs w:val="0"/>
          <w:i w:val="0"/>
          <w:iCs w:val="0"/>
          <w:caps w:val="0"/>
          <w:color w:val="303030"/>
          <w:spacing w:val="0"/>
          <w:sz w:val="32"/>
          <w:szCs w:val="32"/>
          <w:shd w:val="clear" w:fill="FFFFFF"/>
          <w:vertAlign w:val="baseline"/>
          <w:lang w:eastAsia="zh-CN"/>
        </w:rPr>
        <w:t>中信金融</w:t>
      </w:r>
      <w:r>
        <w:rPr>
          <w:rStyle w:val="7"/>
          <w:rFonts w:hint="eastAsia" w:ascii="仿宋_GB2312" w:hAnsi="微软雅黑" w:eastAsia="仿宋_GB2312" w:cs="仿宋_GB2312"/>
          <w:b w:val="0"/>
          <w:bCs w:val="0"/>
          <w:i w:val="0"/>
          <w:iCs w:val="0"/>
          <w:caps w:val="0"/>
          <w:color w:val="303030"/>
          <w:spacing w:val="0"/>
          <w:sz w:val="32"/>
          <w:szCs w:val="32"/>
          <w:shd w:val="clear" w:fill="FFFFFF"/>
          <w:vertAlign w:val="baseline"/>
        </w:rPr>
        <w:t>资产管理股份有限公司</w:t>
      </w:r>
      <w:r>
        <w:rPr>
          <w:rStyle w:val="7"/>
          <w:rFonts w:hint="eastAsia" w:ascii="仿宋_GB2312" w:hAnsi="微软雅黑" w:eastAsia="仿宋_GB2312" w:cs="仿宋_GB2312"/>
          <w:b w:val="0"/>
          <w:bCs w:val="0"/>
          <w:i w:val="0"/>
          <w:iCs w:val="0"/>
          <w:caps w:val="0"/>
          <w:color w:val="303030"/>
          <w:spacing w:val="0"/>
          <w:sz w:val="32"/>
          <w:szCs w:val="32"/>
          <w:shd w:val="clear" w:fill="FFFFFF"/>
          <w:vertAlign w:val="baseline"/>
          <w:lang w:eastAsia="zh-CN"/>
        </w:rPr>
        <w:t>贵州省分公司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375"/>
        <w:jc w:val="center"/>
        <w:textAlignment w:val="baseline"/>
        <w:rPr>
          <w:rFonts w:hint="default"/>
          <w:sz w:val="32"/>
          <w:szCs w:val="32"/>
          <w:lang w:val="en-US" w:eastAsia="zh-CN"/>
        </w:rPr>
      </w:pPr>
      <w:r>
        <w:rPr>
          <w:rStyle w:val="7"/>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 xml:space="preserve">          </w:t>
      </w:r>
      <w:r>
        <w:rPr>
          <w:rStyle w:val="7"/>
          <w:rFonts w:hint="eastAsia" w:ascii="仿宋_GB2312" w:hAnsi="微软雅黑" w:eastAsia="仿宋_GB2312" w:cs="仿宋_GB2312"/>
          <w:b w:val="0"/>
          <w:bCs w:val="0"/>
          <w:i w:val="0"/>
          <w:iCs w:val="0"/>
          <w:caps w:val="0"/>
          <w:color w:val="303030"/>
          <w:spacing w:val="0"/>
          <w:sz w:val="32"/>
          <w:szCs w:val="32"/>
          <w:shd w:val="clear" w:fill="FFFFFF"/>
          <w:vertAlign w:val="baseline"/>
        </w:rPr>
        <w:t>202</w:t>
      </w:r>
      <w:r>
        <w:rPr>
          <w:rStyle w:val="7"/>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5</w:t>
      </w:r>
      <w:r>
        <w:rPr>
          <w:rStyle w:val="7"/>
          <w:rFonts w:hint="eastAsia" w:ascii="仿宋_GB2312" w:hAnsi="微软雅黑" w:eastAsia="仿宋_GB2312" w:cs="仿宋_GB2312"/>
          <w:b w:val="0"/>
          <w:bCs w:val="0"/>
          <w:i w:val="0"/>
          <w:iCs w:val="0"/>
          <w:caps w:val="0"/>
          <w:color w:val="303030"/>
          <w:spacing w:val="0"/>
          <w:sz w:val="32"/>
          <w:szCs w:val="32"/>
          <w:shd w:val="clear" w:fill="FFFFFF"/>
          <w:vertAlign w:val="baseline"/>
        </w:rPr>
        <w:t>年</w:t>
      </w:r>
      <w:r>
        <w:rPr>
          <w:rStyle w:val="7"/>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12</w:t>
      </w:r>
      <w:r>
        <w:rPr>
          <w:rStyle w:val="7"/>
          <w:rFonts w:hint="eastAsia" w:ascii="仿宋_GB2312" w:hAnsi="微软雅黑" w:eastAsia="仿宋_GB2312" w:cs="仿宋_GB2312"/>
          <w:b w:val="0"/>
          <w:bCs w:val="0"/>
          <w:i w:val="0"/>
          <w:iCs w:val="0"/>
          <w:caps w:val="0"/>
          <w:color w:val="303030"/>
          <w:spacing w:val="0"/>
          <w:sz w:val="32"/>
          <w:szCs w:val="32"/>
          <w:shd w:val="clear" w:fill="FFFFFF"/>
          <w:vertAlign w:val="baseline"/>
        </w:rPr>
        <w:t>月</w:t>
      </w:r>
      <w:r>
        <w:rPr>
          <w:rStyle w:val="7"/>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11</w:t>
      </w:r>
      <w:r>
        <w:rPr>
          <w:rStyle w:val="7"/>
          <w:rFonts w:hint="eastAsia" w:ascii="仿宋_GB2312" w:hAnsi="微软雅黑" w:eastAsia="仿宋_GB2312" w:cs="仿宋_GB2312"/>
          <w:b w:val="0"/>
          <w:bCs w:val="0"/>
          <w:i w:val="0"/>
          <w:iCs w:val="0"/>
          <w:caps w:val="0"/>
          <w:color w:val="303030"/>
          <w:spacing w:val="0"/>
          <w:sz w:val="32"/>
          <w:szCs w:val="32"/>
          <w:shd w:val="clear" w:fill="FFFFFF"/>
          <w:vertAlign w:val="baseli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庞海伦">
    <w15:presenceInfo w15:providerId="WPS Office" w15:userId="3032922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18D"/>
    <w:rsid w:val="0065018D"/>
    <w:rsid w:val="13A02D2C"/>
    <w:rsid w:val="2C987D62"/>
    <w:rsid w:val="46066A7C"/>
    <w:rsid w:val="519D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ind w:firstLine="420"/>
      <w:jc w:val="left"/>
    </w:pPr>
    <w:rPr>
      <w:rFonts w:ascii="Tahoma" w:hAnsi="Tahoma" w:cs="Tahoma"/>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2025-12-09T07:19:00Z</dcterms:created>
  <dc:creator>方辰</dc:creator>
  <cp:lastModifiedBy>方辰</cp:lastModifiedBy>
  <dcterms:modified xsi:type="dcterms:W3CDTF">2025-12-10T07:14:43Z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5CD6A6C614E043A9941815818E7AE9C9</vt:lpwstr>
  </property>
</Properties>
</file>