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7FF32A2">
      <w:pPr>
        <w:spacing w:line="560" w:lineRule="exact"/>
        <w:rPr>
          <w:rFonts w:hint="eastAsia" w:cs="Tahoma" w:asciiTheme="minorEastAsia" w:hAnsiTheme="minorEastAsia" w:eastAsiaTheme="minorEastAsia"/>
          <w:b/>
          <w:bCs/>
          <w:color w:val="000000" w:themeColor="text1"/>
          <w:sz w:val="44"/>
          <w:szCs w:val="44"/>
          <w14:textFill>
            <w14:solidFill>
              <w14:schemeClr w14:val="tx1"/>
            </w14:solidFill>
          </w14:textFill>
        </w:rPr>
      </w:pPr>
    </w:p>
    <w:p w14:paraId="5ED040D4">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14:paraId="3C12F0A4">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14:paraId="7BC259D7">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14:paraId="63FAAAFA">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14:paraId="34745706">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14:paraId="4711CD7D">
      <w:pPr>
        <w:spacing w:line="560" w:lineRule="exact"/>
        <w:jc w:val="center"/>
        <w:rPr>
          <w:rFonts w:hint="eastAsia" w:asciiTheme="minorEastAsia" w:hAnsiTheme="minorEastAsia" w:eastAsiaTheme="minorEastAsia"/>
          <w:b/>
          <w:bCs/>
          <w:color w:val="000000" w:themeColor="text1"/>
          <w:sz w:val="44"/>
          <w:szCs w:val="44"/>
          <w14:textFill>
            <w14:solidFill>
              <w14:schemeClr w14:val="tx1"/>
            </w14:solidFill>
          </w14:textFill>
        </w:rPr>
      </w:pPr>
    </w:p>
    <w:p w14:paraId="4214E106">
      <w:pPr>
        <w:spacing w:line="560" w:lineRule="exact"/>
        <w:jc w:val="center"/>
        <w:outlineLvl w:val="0"/>
        <w:rPr>
          <w:rFonts w:hint="eastAsia" w:asciiTheme="minorEastAsia" w:hAnsiTheme="minorEastAsia" w:eastAsiaTheme="minorEastAsia"/>
          <w:b/>
          <w:bCs/>
          <w:color w:val="000000" w:themeColor="text1"/>
          <w:sz w:val="48"/>
          <w:szCs w:val="48"/>
          <w14:textFill>
            <w14:solidFill>
              <w14:schemeClr w14:val="tx1"/>
            </w14:solidFill>
          </w14:textFill>
        </w:rPr>
      </w:pPr>
      <w:r>
        <w:rPr>
          <w:rFonts w:hint="eastAsia" w:asciiTheme="minorEastAsia" w:hAnsiTheme="minorEastAsia" w:eastAsiaTheme="minorEastAsia"/>
          <w:b/>
          <w:bCs/>
          <w:color w:val="000000" w:themeColor="text1"/>
          <w:sz w:val="48"/>
          <w:szCs w:val="48"/>
          <w14:textFill>
            <w14:solidFill>
              <w14:schemeClr w14:val="tx1"/>
            </w14:solidFill>
          </w14:textFill>
        </w:rPr>
        <w:t>债 权 转 让 协 议</w:t>
      </w:r>
    </w:p>
    <w:p w14:paraId="0B7D49AA">
      <w:pPr>
        <w:spacing w:line="560" w:lineRule="exact"/>
        <w:jc w:val="center"/>
        <w:rPr>
          <w:rFonts w:hint="eastAsia" w:asciiTheme="minorEastAsia" w:hAnsiTheme="minorEastAsia" w:eastAsiaTheme="minorEastAsia"/>
          <w:b/>
          <w:bCs/>
          <w:color w:val="000000" w:themeColor="text1"/>
          <w:sz w:val="48"/>
          <w:szCs w:val="48"/>
          <w14:textFill>
            <w14:solidFill>
              <w14:schemeClr w14:val="tx1"/>
            </w14:solidFill>
          </w14:textFill>
        </w:rPr>
      </w:pPr>
    </w:p>
    <w:p w14:paraId="636BB98C">
      <w:pPr>
        <w:spacing w:line="560" w:lineRule="exact"/>
        <w:rPr>
          <w:rFonts w:hint="eastAsia" w:asciiTheme="minorEastAsia" w:hAnsiTheme="minorEastAsia" w:eastAsiaTheme="minorEastAsia"/>
          <w:b/>
          <w:bCs/>
          <w:color w:val="000000" w:themeColor="text1"/>
          <w:sz w:val="48"/>
          <w:szCs w:val="48"/>
          <w14:textFill>
            <w14:solidFill>
              <w14:schemeClr w14:val="tx1"/>
            </w14:solidFill>
          </w14:textFill>
        </w:rPr>
      </w:pPr>
    </w:p>
    <w:p w14:paraId="050E079E">
      <w:pPr>
        <w:pStyle w:val="12"/>
        <w:shd w:val="clear" w:color="auto" w:fill="FFFFFF"/>
        <w:spacing w:line="480" w:lineRule="atLeast"/>
        <w:ind w:left="482" w:hanging="482"/>
        <w:jc w:val="both"/>
        <w:rPr>
          <w:rFonts w:hint="eastAsia" w:asciiTheme="minorEastAsia" w:hAnsiTheme="minorEastAsia" w:eastAsiaTheme="minorEastAsia"/>
          <w:b/>
          <w:bCs/>
          <w:color w:val="000000" w:themeColor="text1"/>
          <w:szCs w:val="32"/>
          <w14:textFill>
            <w14:solidFill>
              <w14:schemeClr w14:val="tx1"/>
            </w14:solidFill>
          </w14:textFill>
        </w:rPr>
      </w:pPr>
    </w:p>
    <w:p w14:paraId="5CEAD30C">
      <w:pPr>
        <w:widowControl/>
        <w:spacing w:line="560" w:lineRule="exact"/>
        <w:jc w:val="both"/>
        <w:rPr>
          <w:rFonts w:hint="eastAsia"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w:t>
      </w:r>
    </w:p>
    <w:p w14:paraId="7EB849F0">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r>
        <w:rPr>
          <w:rFonts w:asciiTheme="minorEastAsia" w:hAnsiTheme="minorEastAsia" w:eastAsiaTheme="minorEastAsia"/>
          <w:b/>
          <w:color w:val="000000" w:themeColor="text1"/>
          <w:sz w:val="24"/>
          <w:szCs w:val="24"/>
          <w14:textFill>
            <w14:solidFill>
              <w14:schemeClr w14:val="tx1"/>
            </w14:solidFill>
          </w14:textFill>
        </w:rPr>
        <w:br w:type="page"/>
      </w:r>
      <w:r>
        <w:rPr>
          <w:rFonts w:hint="eastAsia" w:asciiTheme="minorEastAsia" w:hAnsiTheme="minorEastAsia" w:eastAsiaTheme="minorEastAsia"/>
          <w:b/>
          <w:color w:val="000000" w:themeColor="text1"/>
          <w:sz w:val="44"/>
          <w:szCs w:val="44"/>
          <w14:textFill>
            <w14:solidFill>
              <w14:schemeClr w14:val="tx1"/>
            </w14:solidFill>
          </w14:textFill>
        </w:rPr>
        <w:t>债权转让协议</w:t>
      </w:r>
    </w:p>
    <w:p w14:paraId="7B7F1DED">
      <w:pPr>
        <w:spacing w:line="560" w:lineRule="exact"/>
        <w:rPr>
          <w:rFonts w:hint="eastAsia" w:asciiTheme="minorEastAsia" w:hAnsiTheme="minorEastAsia" w:eastAsiaTheme="minorEastAsia"/>
          <w:b/>
          <w:color w:val="000000" w:themeColor="text1"/>
          <w:sz w:val="24"/>
          <w:szCs w:val="24"/>
          <w:u w:val="single"/>
          <w14:textFill>
            <w14:solidFill>
              <w14:schemeClr w14:val="tx1"/>
            </w14:solidFill>
          </w14:textFill>
        </w:rPr>
      </w:pPr>
    </w:p>
    <w:p w14:paraId="4944EE4B">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甲方（转让方）：</w:t>
      </w:r>
      <w:r>
        <w:rPr>
          <w:rFonts w:hint="eastAsia" w:asciiTheme="minorEastAsia" w:hAnsiTheme="minorEastAsia" w:eastAsiaTheme="minorEastAsia"/>
          <w:color w:val="000000" w:themeColor="text1"/>
          <w:sz w:val="28"/>
          <w:szCs w:val="28"/>
          <w14:textFill>
            <w14:solidFill>
              <w14:schemeClr w14:val="tx1"/>
            </w14:solidFill>
          </w14:textFill>
        </w:rPr>
        <w:t>中国中信金融资产管理股份有限公司</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贵州省</w:t>
      </w:r>
      <w:r>
        <w:rPr>
          <w:rFonts w:hint="eastAsia" w:asciiTheme="minorEastAsia" w:hAnsiTheme="minorEastAsia" w:eastAsiaTheme="minorEastAsia"/>
          <w:color w:val="000000" w:themeColor="text1"/>
          <w:sz w:val="28"/>
          <w:szCs w:val="28"/>
          <w14:textFill>
            <w14:solidFill>
              <w14:schemeClr w14:val="tx1"/>
            </w14:solidFill>
          </w14:textFill>
        </w:rPr>
        <w:t>分公司</w:t>
      </w:r>
    </w:p>
    <w:p w14:paraId="625B29ED">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负责人：</w:t>
      </w:r>
    </w:p>
    <w:p w14:paraId="050953BB">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地址：</w:t>
      </w:r>
    </w:p>
    <w:p w14:paraId="0F26050A">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14:paraId="14A4D942">
      <w:pPr>
        <w:snapToGrid w:val="0"/>
        <w:spacing w:line="560" w:lineRule="exact"/>
        <w:rPr>
          <w:rFonts w:hint="eastAsia" w:asciiTheme="minorEastAsia" w:hAnsiTheme="minorEastAsia" w:eastAsiaTheme="minorEastAsia"/>
          <w:b/>
          <w:color w:val="000000" w:themeColor="text1"/>
          <w:sz w:val="28"/>
          <w:szCs w:val="28"/>
          <w14:textFill>
            <w14:solidFill>
              <w14:schemeClr w14:val="tx1"/>
            </w14:solidFill>
          </w14:textFill>
        </w:rPr>
      </w:pPr>
    </w:p>
    <w:p w14:paraId="0F8CF159">
      <w:pPr>
        <w:snapToGrid w:val="0"/>
        <w:spacing w:line="560" w:lineRule="exact"/>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 xml:space="preserve">乙方（受让方）：                                      </w:t>
      </w:r>
    </w:p>
    <w:p w14:paraId="0B2C758B">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法定代表人/负责人：</w:t>
      </w:r>
    </w:p>
    <w:p w14:paraId="0FE11C14">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住所：</w:t>
      </w:r>
    </w:p>
    <w:p w14:paraId="2FDCE03E">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14:paraId="5C0F6F28">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14:paraId="66BDCCD8">
      <w:pPr>
        <w:snapToGrid w:val="0"/>
        <w:spacing w:line="560" w:lineRule="exact"/>
        <w:rPr>
          <w:rFonts w:hint="eastAsia" w:asciiTheme="minorEastAsia" w:hAnsiTheme="minorEastAsia" w:eastAsiaTheme="minorEastAsia"/>
          <w:color w:val="000000" w:themeColor="text1"/>
          <w:sz w:val="28"/>
          <w:szCs w:val="28"/>
          <w:u w:val="single"/>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协议签订地点：</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p>
    <w:p w14:paraId="3A763BF0">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协议签订日期：</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月</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日</w:t>
      </w:r>
    </w:p>
    <w:p w14:paraId="3E70969F">
      <w:pPr>
        <w:pStyle w:val="5"/>
        <w:tabs>
          <w:tab w:val="left" w:pos="2191"/>
        </w:tabs>
        <w:spacing w:line="560" w:lineRule="exact"/>
        <w:ind w:firstLine="548" w:firstLineChars="196"/>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ab/>
      </w:r>
    </w:p>
    <w:p w14:paraId="3BAD3A57">
      <w:pPr>
        <w:pStyle w:val="5"/>
        <w:spacing w:line="560" w:lineRule="exact"/>
        <w:ind w:firstLine="562"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lang w:eastAsia="zh-CN"/>
          <w14:textFill>
            <w14:solidFill>
              <w14:schemeClr w14:val="tx1"/>
            </w14:solidFill>
          </w14:textFill>
        </w:rPr>
        <w:t>鉴于：</w:t>
      </w:r>
    </w:p>
    <w:p w14:paraId="352EE1F1">
      <w:pPr>
        <w:numPr>
          <w:ilvl w:val="-1"/>
          <w:numId w:val="0"/>
        </w:numPr>
        <w:ind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1、</w:t>
      </w:r>
      <w:r>
        <w:rPr>
          <w:rFonts w:hint="eastAsia" w:cs="Times New Roman" w:asciiTheme="minorEastAsia" w:hAnsiTheme="minorEastAsia" w:eastAsiaTheme="minorEastAsia"/>
          <w:color w:val="000000" w:themeColor="text1"/>
          <w:kern w:val="0"/>
          <w:sz w:val="28"/>
          <w:szCs w:val="28"/>
          <w:lang w:val="en-US" w:eastAsia="zh-CN" w:bidi="ar-SA"/>
          <w14:textFill>
            <w14:solidFill>
              <w14:schemeClr w14:val="tx1"/>
            </w14:solidFill>
          </w14:textFill>
        </w:rPr>
        <w:t>（2018）黔民初7号《民事判决书》确认甲方对</w:t>
      </w:r>
      <w:r>
        <w:rPr>
          <w:rFonts w:hint="default" w:cs="Times New Roman" w:asciiTheme="minorEastAsia" w:hAnsiTheme="minorEastAsia" w:eastAsiaTheme="minorEastAsia"/>
          <w:color w:val="000000" w:themeColor="text1"/>
          <w:kern w:val="0"/>
          <w:sz w:val="28"/>
          <w:szCs w:val="28"/>
          <w:lang w:val="en-US" w:eastAsia="zh-CN" w:bidi="ar-SA"/>
          <w14:textFill>
            <w14:solidFill>
              <w14:schemeClr w14:val="tx1"/>
            </w14:solidFill>
          </w14:textFill>
        </w:rPr>
        <w:t>贵州省福明置业有限公司</w:t>
      </w:r>
      <w:r>
        <w:rPr>
          <w:rFonts w:hint="eastAsia" w:cs="Times New Roman" w:asciiTheme="minorEastAsia" w:hAnsiTheme="minorEastAsia" w:eastAsiaTheme="minorEastAsia"/>
          <w:color w:val="000000" w:themeColor="text1"/>
          <w:kern w:val="0"/>
          <w:sz w:val="28"/>
          <w:szCs w:val="28"/>
          <w:lang w:val="en-US" w:eastAsia="zh-CN" w:bidi="ar-SA"/>
          <w14:textFill>
            <w14:solidFill>
              <w14:schemeClr w14:val="tx1"/>
            </w14:solidFill>
          </w14:textFill>
        </w:rPr>
        <w:t>、</w:t>
      </w:r>
      <w:r>
        <w:rPr>
          <w:rFonts w:hint="default" w:cs="Times New Roman" w:asciiTheme="minorEastAsia" w:hAnsiTheme="minorEastAsia" w:eastAsiaTheme="minorEastAsia"/>
          <w:color w:val="000000" w:themeColor="text1"/>
          <w:kern w:val="0"/>
          <w:sz w:val="28"/>
          <w:szCs w:val="28"/>
          <w:lang w:val="en-US" w:eastAsia="zh-CN" w:bidi="ar-SA"/>
          <w14:textFill>
            <w14:solidFill>
              <w14:schemeClr w14:val="tx1"/>
            </w14:solidFill>
          </w14:textFill>
        </w:rPr>
        <w:t>郑榕</w:t>
      </w:r>
      <w:r>
        <w:rPr>
          <w:rFonts w:hint="eastAsia" w:cs="Times New Roman" w:asciiTheme="minorEastAsia" w:hAnsiTheme="minorEastAsia" w:eastAsiaTheme="minorEastAsia"/>
          <w:color w:val="000000" w:themeColor="text1"/>
          <w:kern w:val="0"/>
          <w:sz w:val="28"/>
          <w:szCs w:val="28"/>
          <w:lang w:val="en-US" w:eastAsia="zh-CN" w:bidi="ar-SA"/>
          <w14:textFill>
            <w14:solidFill>
              <w14:schemeClr w14:val="tx1"/>
            </w14:solidFill>
          </w14:textFill>
        </w:rPr>
        <w:t>、张平享有一笔债权及从权利；</w:t>
      </w:r>
      <w:r>
        <w:rPr>
          <w:rFonts w:hint="default" w:cs="Times New Roman" w:asciiTheme="minorEastAsia" w:hAnsiTheme="minorEastAsia" w:eastAsiaTheme="minorEastAsia"/>
          <w:color w:val="000000" w:themeColor="text1"/>
          <w:kern w:val="0"/>
          <w:sz w:val="28"/>
          <w:szCs w:val="28"/>
          <w:lang w:val="en-US" w:eastAsia="zh-CN" w:bidi="ar-SA"/>
          <w14:textFill>
            <w14:solidFill>
              <w14:schemeClr w14:val="tx1"/>
            </w14:solidFill>
          </w14:textFill>
        </w:rPr>
        <w:t>（2018）黔民初8号《民事判决书》</w:t>
      </w:r>
      <w:r>
        <w:rPr>
          <w:rFonts w:hint="eastAsia" w:cs="Times New Roman" w:asciiTheme="minorEastAsia" w:hAnsiTheme="minorEastAsia" w:eastAsiaTheme="minorEastAsia"/>
          <w:color w:val="000000" w:themeColor="text1"/>
          <w:kern w:val="0"/>
          <w:sz w:val="28"/>
          <w:szCs w:val="28"/>
          <w:lang w:val="en-US" w:eastAsia="zh-CN" w:bidi="ar-SA"/>
          <w14:textFill>
            <w14:solidFill>
              <w14:schemeClr w14:val="tx1"/>
            </w14:solidFill>
          </w14:textFill>
        </w:rPr>
        <w:t>确认甲方对</w:t>
      </w:r>
      <w:r>
        <w:rPr>
          <w:rFonts w:hint="default" w:cs="Times New Roman" w:asciiTheme="minorEastAsia" w:hAnsiTheme="minorEastAsia" w:eastAsiaTheme="minorEastAsia"/>
          <w:color w:val="000000" w:themeColor="text1"/>
          <w:kern w:val="0"/>
          <w:sz w:val="28"/>
          <w:szCs w:val="28"/>
          <w:lang w:val="en-US" w:eastAsia="zh-CN" w:bidi="ar-SA"/>
          <w14:textFill>
            <w14:solidFill>
              <w14:schemeClr w14:val="tx1"/>
            </w14:solidFill>
          </w14:textFill>
        </w:rPr>
        <w:t>贵州省福明置业有限公司</w:t>
      </w:r>
      <w:r>
        <w:rPr>
          <w:rFonts w:hint="eastAsia" w:cs="Times New Roman" w:asciiTheme="minorEastAsia" w:hAnsiTheme="minorEastAsia" w:eastAsiaTheme="minorEastAsia"/>
          <w:color w:val="000000" w:themeColor="text1"/>
          <w:kern w:val="0"/>
          <w:sz w:val="28"/>
          <w:szCs w:val="28"/>
          <w:lang w:val="en-US" w:eastAsia="zh-CN" w:bidi="ar-SA"/>
          <w14:textFill>
            <w14:solidFill>
              <w14:schemeClr w14:val="tx1"/>
            </w14:solidFill>
          </w14:textFill>
        </w:rPr>
        <w:t>、</w:t>
      </w:r>
      <w:r>
        <w:rPr>
          <w:rFonts w:hint="default" w:cs="Times New Roman" w:asciiTheme="minorEastAsia" w:hAnsiTheme="minorEastAsia" w:eastAsiaTheme="minorEastAsia"/>
          <w:color w:val="000000" w:themeColor="text1"/>
          <w:kern w:val="0"/>
          <w:sz w:val="28"/>
          <w:szCs w:val="28"/>
          <w:lang w:val="en-US" w:eastAsia="zh-CN" w:bidi="ar-SA"/>
          <w14:textFill>
            <w14:solidFill>
              <w14:schemeClr w14:val="tx1"/>
            </w14:solidFill>
          </w14:textFill>
        </w:rPr>
        <w:t>郑榕</w:t>
      </w:r>
      <w:r>
        <w:rPr>
          <w:rFonts w:hint="eastAsia" w:cs="Times New Roman" w:asciiTheme="minorEastAsia" w:hAnsiTheme="minorEastAsia" w:eastAsiaTheme="minorEastAsia"/>
          <w:color w:val="000000" w:themeColor="text1"/>
          <w:kern w:val="0"/>
          <w:sz w:val="28"/>
          <w:szCs w:val="28"/>
          <w:lang w:val="en-US" w:eastAsia="zh-CN" w:bidi="ar-SA"/>
          <w14:textFill>
            <w14:solidFill>
              <w14:schemeClr w14:val="tx1"/>
            </w14:solidFill>
          </w14:textFill>
        </w:rPr>
        <w:t>享有一笔债权及从权利。</w:t>
      </w:r>
    </w:p>
    <w:p w14:paraId="5713C64F">
      <w:pPr>
        <w:pStyle w:val="5"/>
        <w:tabs>
          <w:tab w:val="left" w:pos="8364"/>
        </w:tabs>
        <w:spacing w:line="560" w:lineRule="exact"/>
        <w:ind w:firstLine="560"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2</w:t>
      </w:r>
      <w:r>
        <w:rPr>
          <w:rFonts w:hint="eastAsia" w:asciiTheme="minorEastAsia" w:hAnsiTheme="minorEastAsia" w:eastAsiaTheme="minorEastAsia"/>
          <w:color w:val="000000" w:themeColor="text1"/>
          <w:sz w:val="28"/>
          <w:szCs w:val="28"/>
          <w14:textFill>
            <w14:solidFill>
              <w14:schemeClr w14:val="tx1"/>
            </w14:solidFill>
          </w14:textFill>
        </w:rPr>
        <w:t>、甲方同意一次性转让，且乙方同意</w:t>
      </w:r>
      <w:r>
        <w:rPr>
          <w:rFonts w:hint="eastAsia" w:asciiTheme="minorEastAsia" w:hAnsiTheme="minorEastAsia" w:eastAsiaTheme="minorEastAsia"/>
          <w:color w:val="000000" w:themeColor="text1"/>
          <w:sz w:val="28"/>
          <w:szCs w:val="28"/>
          <w:lang w:eastAsia="zh-CN"/>
          <w14:textFill>
            <w14:solidFill>
              <w14:schemeClr w14:val="tx1"/>
            </w14:solidFill>
          </w14:textFill>
        </w:rPr>
        <w:t>一次性受让本协议第1.1条规定的标的债权的全部所有权、权益和利益。</w:t>
      </w:r>
    </w:p>
    <w:p w14:paraId="2A6BEE26">
      <w:pPr>
        <w:pStyle w:val="5"/>
        <w:spacing w:line="560" w:lineRule="exact"/>
        <w:ind w:firstLine="560"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Cs/>
          <w:color w:val="000000" w:themeColor="text1"/>
          <w:sz w:val="28"/>
          <w:szCs w:val="28"/>
          <w:lang w:eastAsia="zh-CN"/>
          <w14:textFill>
            <w14:solidFill>
              <w14:schemeClr w14:val="tx1"/>
            </w14:solidFill>
          </w14:textFill>
        </w:rPr>
        <w:t>3、</w:t>
      </w:r>
      <w:r>
        <w:rPr>
          <w:rFonts w:hint="eastAsia" w:asciiTheme="minorEastAsia" w:hAnsiTheme="minorEastAsia" w:eastAsiaTheme="minorEastAsia"/>
          <w:b/>
          <w:color w:val="000000" w:themeColor="text1"/>
          <w:sz w:val="28"/>
          <w:szCs w:val="28"/>
          <w:lang w:eastAsia="zh-CN"/>
          <w14:textFill>
            <w14:solidFill>
              <w14:schemeClr w14:val="tx1"/>
            </w14:solidFill>
          </w14:textFill>
        </w:rPr>
        <w:t>甲方在此强调，本协</w:t>
      </w:r>
      <w:r>
        <w:rPr>
          <w:rFonts w:hint="eastAsia" w:asciiTheme="minorEastAsia" w:hAnsiTheme="minorEastAsia" w:eastAsiaTheme="minorEastAsia"/>
          <w:b/>
          <w:color w:val="000000" w:themeColor="text1"/>
          <w:sz w:val="28"/>
          <w:szCs w:val="28"/>
          <w14:textFill>
            <w14:solidFill>
              <w14:schemeClr w14:val="tx1"/>
            </w14:solidFill>
          </w14:textFill>
        </w:rPr>
        <w:t>议第1.1条规定的标的</w:t>
      </w:r>
      <w:r>
        <w:rPr>
          <w:rFonts w:hint="eastAsia" w:asciiTheme="minorEastAsia" w:hAnsiTheme="minorEastAsia" w:eastAsiaTheme="minorEastAsia"/>
          <w:b/>
          <w:color w:val="000000" w:themeColor="text1"/>
          <w:sz w:val="28"/>
          <w:szCs w:val="28"/>
          <w:lang w:eastAsia="zh-CN"/>
          <w14:textFill>
            <w14:solidFill>
              <w14:schemeClr w14:val="tx1"/>
            </w14:solidFill>
          </w14:textFill>
        </w:rPr>
        <w:t>债权存在着部分或全部不能回收的风险特性以及清偿的困难性</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p>
    <w:p w14:paraId="2EB378BA">
      <w:pPr>
        <w:pStyle w:val="5"/>
        <w:spacing w:line="560" w:lineRule="exact"/>
        <w:ind w:firstLine="560"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Cs/>
          <w:color w:val="000000" w:themeColor="text1"/>
          <w:sz w:val="28"/>
          <w:szCs w:val="28"/>
          <w:lang w:eastAsia="zh-CN"/>
          <w14:textFill>
            <w14:solidFill>
              <w14:schemeClr w14:val="tx1"/>
            </w14:solidFill>
          </w14:textFill>
        </w:rPr>
        <w:t>4、</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乙方在此确认，其对标的债权进行了独立的尽职调查，现已对标的债权做了充分、必要的了解，并就标的债权的现状及其风险（包括但不限于根据本协议拟购买的资产的特殊性、风险的不确定性以及回收该等资产可能面临的困难）完全清楚、认可与接受。乙方经独立慎重判断决定签署本协议，并同意按本协议约定的条款和条件及标的债权的现状受让本协议项下债权。</w:t>
      </w:r>
    </w:p>
    <w:p w14:paraId="56A663EA">
      <w:pPr>
        <w:pStyle w:val="5"/>
        <w:spacing w:line="560" w:lineRule="exact"/>
        <w:ind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各方特此达成协议如下：</w:t>
      </w:r>
    </w:p>
    <w:p w14:paraId="04FA99FA">
      <w:pPr>
        <w:pStyle w:val="5"/>
        <w:spacing w:line="560" w:lineRule="exact"/>
        <w:ind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p>
    <w:p w14:paraId="2842C8E9">
      <w:pPr>
        <w:spacing w:line="560" w:lineRule="exact"/>
        <w:ind w:firstLine="562" w:firstLineChars="200"/>
        <w:outlineLvl w:val="0"/>
        <w:rPr>
          <w:rFonts w:hint="eastAsia" w:cs="楷体_GB2312"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 xml:space="preserve">第一条 </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 xml:space="preserve"> </w:t>
      </w:r>
      <w:r>
        <w:rPr>
          <w:rFonts w:hint="eastAsia" w:cs="楷体_GB2312" w:asciiTheme="minorEastAsia" w:hAnsiTheme="minorEastAsia" w:eastAsiaTheme="minorEastAsia"/>
          <w:b/>
          <w:bCs/>
          <w:color w:val="000000" w:themeColor="text1"/>
          <w:sz w:val="28"/>
          <w:szCs w:val="28"/>
          <w14:textFill>
            <w14:solidFill>
              <w14:schemeClr w14:val="tx1"/>
            </w14:solidFill>
          </w14:textFill>
        </w:rPr>
        <w:t>定义和解释</w:t>
      </w:r>
    </w:p>
    <w:p w14:paraId="5538F423">
      <w:pPr>
        <w:spacing w:line="56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除非在本协议其他条款中另有约定，否则下列词语的涵义应解释为：</w:t>
      </w:r>
    </w:p>
    <w:p w14:paraId="6E52840F">
      <w:pPr>
        <w:spacing w:line="560" w:lineRule="exact"/>
        <w:ind w:firstLine="709"/>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 xml:space="preserve">1.1 </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“标的债权”：</w:t>
      </w:r>
      <w:r>
        <w:rPr>
          <w:rFonts w:hint="eastAsia" w:asciiTheme="minorEastAsia" w:hAnsiTheme="minorEastAsia" w:eastAsiaTheme="minorEastAsia"/>
          <w:color w:val="000000" w:themeColor="text1"/>
          <w:kern w:val="0"/>
          <w:sz w:val="28"/>
          <w:szCs w:val="28"/>
          <w14:textFill>
            <w14:solidFill>
              <w14:schemeClr w14:val="tx1"/>
            </w14:solidFill>
          </w14:textFill>
        </w:rPr>
        <w:t>指截至交易基准日的主债权、从权利以及由此转化的其它相关权益的通称</w:t>
      </w:r>
      <w:r>
        <w:rPr>
          <w:rFonts w:hint="eastAsia" w:asciiTheme="minorEastAsia" w:hAnsiTheme="minorEastAsia" w:eastAsiaTheme="minorEastAsia"/>
          <w:color w:val="000000" w:themeColor="text1"/>
          <w:kern w:val="0"/>
          <w:sz w:val="28"/>
          <w:szCs w:val="28"/>
          <w:lang w:eastAsia="zh-CN"/>
          <w14:textFill>
            <w14:solidFill>
              <w14:schemeClr w14:val="tx1"/>
            </w14:solidFill>
          </w14:textFill>
        </w:rPr>
        <w:t>，标的债权同时包括基准日前发生的甲方为实现债权而垫付的应由债务人承担的费用。</w:t>
      </w:r>
      <w:r>
        <w:rPr>
          <w:rFonts w:hint="eastAsia" w:asciiTheme="minorEastAsia" w:hAnsiTheme="minorEastAsia" w:eastAsiaTheme="minorEastAsia"/>
          <w:color w:val="000000" w:themeColor="text1"/>
          <w:kern w:val="0"/>
          <w:sz w:val="28"/>
          <w:szCs w:val="28"/>
          <w14:textFill>
            <w14:solidFill>
              <w14:schemeClr w14:val="tx1"/>
            </w14:solidFill>
          </w14:textFill>
        </w:rPr>
        <w:t>其他相关权益是指：交易基准日前，甲方因管理、处置需要可能已与《标的债权清单》中部分债务人（包括担保人）达成包括但不限于和解协议</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/执行笔录</w:t>
      </w:r>
      <w:r>
        <w:rPr>
          <w:rFonts w:hint="eastAsia" w:asciiTheme="minorEastAsia" w:hAnsiTheme="minorEastAsia" w:eastAsiaTheme="minorEastAsia"/>
          <w:color w:val="000000" w:themeColor="text1"/>
          <w:kern w:val="0"/>
          <w:sz w:val="28"/>
          <w:szCs w:val="28"/>
          <w14:textFill>
            <w14:solidFill>
              <w14:schemeClr w14:val="tx1"/>
            </w14:solidFill>
          </w14:textFill>
        </w:rPr>
        <w:t>，因此，乙方受让的对该等债务人（包括担保人）的债权，已从原始的</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债务</w:t>
      </w:r>
      <w:r>
        <w:rPr>
          <w:rFonts w:hint="eastAsia" w:asciiTheme="minorEastAsia" w:hAnsiTheme="minorEastAsia" w:eastAsiaTheme="minorEastAsia"/>
          <w:color w:val="000000" w:themeColor="text1"/>
          <w:kern w:val="0"/>
          <w:sz w:val="28"/>
          <w:szCs w:val="28"/>
          <w14:textFill>
            <w14:solidFill>
              <w14:schemeClr w14:val="tx1"/>
            </w14:solidFill>
          </w14:textFill>
        </w:rPr>
        <w:t>协议、担保协议项下的债权，全部或部分转化为前述协议项下或法院生效</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法律文书</w:t>
      </w:r>
      <w:r>
        <w:rPr>
          <w:rFonts w:hint="eastAsia" w:asciiTheme="minorEastAsia" w:hAnsiTheme="minorEastAsia" w:eastAsiaTheme="minorEastAsia"/>
          <w:color w:val="000000" w:themeColor="text1"/>
          <w:kern w:val="0"/>
          <w:sz w:val="28"/>
          <w:szCs w:val="28"/>
          <w14:textFill>
            <w14:solidFill>
              <w14:schemeClr w14:val="tx1"/>
            </w14:solidFill>
          </w14:textFill>
        </w:rPr>
        <w:t>所对应的权利</w:t>
      </w:r>
      <w:r>
        <w:rPr>
          <w:rFonts w:hint="eastAsia"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标的债权不包括基准日前已以物抵债的（即便尚未办理过户），已处置相关资产的回款。标的债权</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相关信息见附件一《标的债权清单》。  </w:t>
      </w:r>
    </w:p>
    <w:p w14:paraId="0EDE5EBE">
      <w:pPr>
        <w:spacing w:line="560" w:lineRule="exact"/>
        <w:ind w:firstLine="562" w:firstLineChars="200"/>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 xml:space="preserve">1.2 </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“转让日”：</w:t>
      </w:r>
      <w:r>
        <w:rPr>
          <w:rFonts w:hint="eastAsia" w:asciiTheme="minorEastAsia" w:hAnsiTheme="minorEastAsia" w:eastAsiaTheme="minorEastAsia"/>
          <w:color w:val="000000" w:themeColor="text1"/>
          <w:kern w:val="0"/>
          <w:sz w:val="28"/>
          <w:szCs w:val="28"/>
          <w14:textFill>
            <w14:solidFill>
              <w14:schemeClr w14:val="tx1"/>
            </w14:solidFill>
          </w14:textFill>
        </w:rPr>
        <w:t>指本协议生效后标的债权付款日，即乙方根据本协议约定将标的债权转让价款全部支付至甲方指定账户、且甲方已足额收到全部标的债权转让价款之日。</w:t>
      </w:r>
    </w:p>
    <w:p w14:paraId="4793ADB8">
      <w:pPr>
        <w:spacing w:line="56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 xml:space="preserve">1.3 </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“交易基准日”：</w:t>
      </w:r>
      <w:r>
        <w:rPr>
          <w:rFonts w:hint="eastAsia" w:asciiTheme="minorEastAsia" w:hAnsiTheme="minorEastAsia" w:eastAsiaTheme="minorEastAsia"/>
          <w:color w:val="000000" w:themeColor="text1"/>
          <w:kern w:val="0"/>
          <w:sz w:val="28"/>
          <w:szCs w:val="28"/>
          <w14:textFill>
            <w14:solidFill>
              <w14:schemeClr w14:val="tx1"/>
            </w14:solidFill>
          </w14:textFill>
        </w:rPr>
        <w:t>指甲方确定的计算标的债权账面本金及利息余额的截止日，系</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2025</w:t>
      </w:r>
      <w:r>
        <w:rPr>
          <w:rFonts w:hint="eastAsia" w:asciiTheme="minorEastAsia" w:hAnsiTheme="minorEastAsia" w:eastAsiaTheme="minorEastAsia"/>
          <w:color w:val="000000" w:themeColor="text1"/>
          <w:kern w:val="0"/>
          <w:sz w:val="28"/>
          <w:szCs w:val="28"/>
          <w14:textFill>
            <w14:solidFill>
              <w14:schemeClr w14:val="tx1"/>
            </w14:solidFill>
          </w14:textFill>
        </w:rPr>
        <w:t>年</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10</w:t>
      </w:r>
      <w:r>
        <w:rPr>
          <w:rFonts w:hint="eastAsia" w:asciiTheme="minorEastAsia" w:hAnsiTheme="minorEastAsia" w:eastAsiaTheme="minorEastAsia"/>
          <w:color w:val="000000" w:themeColor="text1"/>
          <w:kern w:val="0"/>
          <w:sz w:val="28"/>
          <w:szCs w:val="28"/>
          <w14:textFill>
            <w14:solidFill>
              <w14:schemeClr w14:val="tx1"/>
            </w14:solidFill>
          </w14:textFill>
        </w:rPr>
        <w:t>月</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31</w:t>
      </w:r>
      <w:r>
        <w:rPr>
          <w:rFonts w:hint="eastAsia" w:asciiTheme="minorEastAsia" w:hAnsiTheme="minorEastAsia" w:eastAsiaTheme="minorEastAsia"/>
          <w:color w:val="000000" w:themeColor="text1"/>
          <w:kern w:val="0"/>
          <w:sz w:val="28"/>
          <w:szCs w:val="28"/>
          <w14:textFill>
            <w14:solidFill>
              <w14:schemeClr w14:val="tx1"/>
            </w14:solidFill>
          </w14:textFill>
        </w:rPr>
        <w:t>日。</w:t>
      </w:r>
    </w:p>
    <w:p w14:paraId="7658A6F0">
      <w:pPr>
        <w:spacing w:line="56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 xml:space="preserve">1.4 </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“过渡期”：</w:t>
      </w:r>
      <w:r>
        <w:rPr>
          <w:rFonts w:hint="eastAsia" w:asciiTheme="minorEastAsia" w:hAnsiTheme="minorEastAsia" w:eastAsiaTheme="minorEastAsia"/>
          <w:color w:val="000000" w:themeColor="text1"/>
          <w:kern w:val="0"/>
          <w:sz w:val="28"/>
          <w:szCs w:val="28"/>
          <w14:textFill>
            <w14:solidFill>
              <w14:schemeClr w14:val="tx1"/>
            </w14:solidFill>
          </w14:textFill>
        </w:rPr>
        <w:t>指交易基准日（不含该日）至转让日（不含该日）的期间。</w:t>
      </w:r>
    </w:p>
    <w:p w14:paraId="5EE4639C">
      <w:pPr>
        <w:snapToGrid w:val="0"/>
        <w:spacing w:line="560" w:lineRule="exact"/>
        <w:ind w:firstLine="562"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1.5</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w:t>
      </w:r>
      <w:r>
        <w:rPr>
          <w:rFonts w:asciiTheme="minorEastAsia" w:hAnsiTheme="minorEastAsia" w:eastAsiaTheme="minorEastAsia"/>
          <w:b/>
          <w:bCs/>
          <w:color w:val="000000" w:themeColor="text1"/>
          <w:sz w:val="28"/>
          <w:szCs w:val="28"/>
          <w14:textFill>
            <w14:solidFill>
              <w14:schemeClr w14:val="tx1"/>
            </w14:solidFill>
          </w14:textFill>
        </w:rPr>
        <w:t>债权文件</w:t>
      </w:r>
      <w:r>
        <w:rPr>
          <w:rFonts w:hint="eastAsia" w:asciiTheme="minorEastAsia" w:hAnsiTheme="minorEastAsia" w:eastAsiaTheme="minorEastAsia"/>
          <w:b/>
          <w:bCs/>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：指甲方持有的与确认和行使标的债权相关的全部法律文件，包括但不限于标的债权有关的协议、合同、权利凭证、法院判决和裁定等文件。甲方</w:t>
      </w:r>
      <w:r>
        <w:rPr>
          <w:rFonts w:asciiTheme="minorEastAsia" w:hAnsiTheme="minorEastAsia" w:eastAsiaTheme="minorEastAsia"/>
          <w:color w:val="000000" w:themeColor="text1"/>
          <w:sz w:val="28"/>
          <w:szCs w:val="28"/>
          <w14:textFill>
            <w14:solidFill>
              <w14:schemeClr w14:val="tx1"/>
            </w14:solidFill>
          </w14:textFill>
        </w:rPr>
        <w:t>对</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的内部文件（包括但不限于内部审批文件、为内部程序而进行的法律、财务尽调、评估文件等）不属于</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文件的范围之内。</w:t>
      </w:r>
    </w:p>
    <w:p w14:paraId="7D8469E0">
      <w:pPr>
        <w:snapToGrid w:val="0"/>
        <w:spacing w:line="560" w:lineRule="exact"/>
        <w:ind w:firstLine="480" w:firstLineChars="200"/>
        <w:rPr>
          <w:rFonts w:eastAsia="华文楷体"/>
          <w:color w:val="000000" w:themeColor="text1"/>
          <w:sz w:val="24"/>
          <w14:textFill>
            <w14:solidFill>
              <w14:schemeClr w14:val="tx1"/>
            </w14:solidFill>
          </w14:textFill>
        </w:rPr>
      </w:pPr>
    </w:p>
    <w:p w14:paraId="65B7A9C0">
      <w:pPr>
        <w:pStyle w:val="5"/>
        <w:spacing w:line="560" w:lineRule="exact"/>
        <w:ind w:firstLine="562" w:firstLineChars="200"/>
        <w:outlineLvl w:val="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lang w:eastAsia="zh-CN"/>
          <w14:textFill>
            <w14:solidFill>
              <w14:schemeClr w14:val="tx1"/>
            </w14:solidFill>
          </w14:textFill>
        </w:rPr>
        <w:t>第二条  标的</w:t>
      </w:r>
      <w:r>
        <w:rPr>
          <w:rFonts w:hint="eastAsia" w:asciiTheme="minorEastAsia" w:hAnsiTheme="minorEastAsia" w:eastAsiaTheme="minorEastAsia"/>
          <w:b/>
          <w:bCs/>
          <w:color w:val="000000" w:themeColor="text1"/>
          <w:sz w:val="28"/>
          <w:szCs w:val="28"/>
          <w14:textFill>
            <w14:solidFill>
              <w14:schemeClr w14:val="tx1"/>
            </w14:solidFill>
          </w14:textFill>
        </w:rPr>
        <w:t>债权</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的转让</w:t>
      </w:r>
    </w:p>
    <w:p w14:paraId="5B73EA4B">
      <w:pPr>
        <w:spacing w:line="560" w:lineRule="exact"/>
        <w:ind w:firstLine="700" w:firstLineChars="25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2.1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甲方同意按照标的债权的现状向乙方整体出让标的债权，乙方同意按照本协议规定受让标的债权。</w:t>
      </w:r>
    </w:p>
    <w:p w14:paraId="67911EFC">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标的债权现状包括但不限于标的债权的债权本金、权属状态、法律状态、实际使用状况、债权文件的状态以及标的债权可能或实际存在的瑕疵和风险等。</w:t>
      </w:r>
    </w:p>
    <w:p w14:paraId="163B6C0C">
      <w:pPr>
        <w:tabs>
          <w:tab w:val="left" w:pos="0"/>
        </w:tabs>
        <w:topLinePunct/>
        <w:snapToGrid w:val="0"/>
        <w:spacing w:line="560" w:lineRule="exact"/>
        <w:ind w:right="-85"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2.2</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截至交易基准日</w:t>
      </w:r>
      <w:r>
        <w:rPr>
          <w:rFonts w:hint="eastAsia" w:asciiTheme="minorEastAsia" w:hAnsiTheme="minorEastAsia" w:eastAsiaTheme="minorEastAsia"/>
          <w:color w:val="000000" w:themeColor="text1"/>
          <w:sz w:val="28"/>
          <w:szCs w:val="28"/>
          <w14:textFill>
            <w14:solidFill>
              <w14:schemeClr w14:val="tx1"/>
            </w14:solidFill>
          </w14:textFill>
        </w:rPr>
        <w:t>，标的债权本息总额为人民币 陆亿壹仟伍佰捌拾玖万零陆佰玖拾玖元柒角伍分</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615</w:t>
      </w:r>
      <w:r>
        <w:rPr>
          <w:rFonts w:hint="default" w:asciiTheme="minorEastAsia" w:hAnsiTheme="minorEastAsia" w:eastAsiaTheme="minorEastAsia"/>
          <w:color w:val="000000" w:themeColor="text1"/>
          <w:sz w:val="28"/>
          <w:szCs w:val="28"/>
          <w:lang w:val="en-US" w:eastAsia="zh-CN"/>
          <w14:textFill>
            <w14:solidFill>
              <w14:schemeClr w14:val="tx1"/>
            </w14:solidFill>
          </w14:textFill>
        </w:rPr>
        <w:t>,890,69</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9.75</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，其中</w:t>
      </w:r>
      <w:r>
        <w:rPr>
          <w:rFonts w:asciiTheme="minorEastAsia" w:hAnsiTheme="minorEastAsia" w:eastAsiaTheme="minorEastAsia"/>
          <w:color w:val="000000" w:themeColor="text1"/>
          <w:sz w:val="28"/>
          <w:szCs w:val="28"/>
          <w14:textFill>
            <w14:solidFill>
              <w14:schemeClr w14:val="tx1"/>
            </w14:solidFill>
          </w14:textFill>
        </w:rPr>
        <w:t>本金余额人民币</w:t>
      </w:r>
      <w:r>
        <w:rPr>
          <w:rFonts w:hint="default" w:asciiTheme="minorEastAsia" w:hAnsiTheme="minorEastAsia" w:eastAsiaTheme="minorEastAsia"/>
          <w:color w:val="000000" w:themeColor="text1"/>
          <w:sz w:val="28"/>
          <w:szCs w:val="28"/>
          <w:lang w:val="en-US"/>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壹亿捌仟陆佰伍拾捌万壹仟零玖拾壹元肆角</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186</w:t>
      </w:r>
      <w:r>
        <w:rPr>
          <w:rFonts w:hint="default" w:asciiTheme="minorEastAsia" w:hAnsiTheme="minorEastAsia" w:eastAsiaTheme="minorEastAsia"/>
          <w:color w:val="000000" w:themeColor="text1"/>
          <w:sz w:val="28"/>
          <w:szCs w:val="28"/>
          <w:lang w:val="en-US" w:eastAsia="zh-CN"/>
          <w14:textFill>
            <w14:solidFill>
              <w14:schemeClr w14:val="tx1"/>
            </w14:solidFill>
          </w14:textFill>
        </w:rPr>
        <w:t>,581,091.40</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欠息</w:t>
      </w:r>
      <w:r>
        <w:rPr>
          <w:rFonts w:asciiTheme="minorEastAsia" w:hAnsiTheme="minorEastAsia" w:eastAsiaTheme="minorEastAsia"/>
          <w:color w:val="000000" w:themeColor="text1"/>
          <w:sz w:val="28"/>
          <w:szCs w:val="28"/>
          <w14:textFill>
            <w14:solidFill>
              <w14:schemeClr w14:val="tx1"/>
            </w14:solidFill>
          </w14:textFill>
        </w:rPr>
        <w:t>人民币</w:t>
      </w:r>
      <w:r>
        <w:rPr>
          <w:rFonts w:hint="default" w:asciiTheme="minorEastAsia" w:hAnsiTheme="minorEastAsia" w:eastAsiaTheme="minorEastAsia"/>
          <w:color w:val="000000" w:themeColor="text1"/>
          <w:sz w:val="28"/>
          <w:szCs w:val="28"/>
          <w:lang w:val="en-US"/>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肆亿贰仟玖佰叁拾万零玖仟陆佰零捌元叁角伍分</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default" w:asciiTheme="minorEastAsia" w:hAnsiTheme="minorEastAsia" w:eastAsiaTheme="minorEastAsia"/>
          <w:color w:val="000000" w:themeColor="text1"/>
          <w:sz w:val="28"/>
          <w:szCs w:val="28"/>
          <w:lang w:val="en-US"/>
          <w14:textFill>
            <w14:solidFill>
              <w14:schemeClr w14:val="tx1"/>
            </w14:solidFill>
          </w14:textFill>
        </w:rPr>
        <w:t>429,309,608.35</w:t>
      </w:r>
      <w:r>
        <w:rPr>
          <w:rFonts w:asciiTheme="minorEastAsia" w:hAnsiTheme="minorEastAsia" w:eastAsiaTheme="minorEastAsia"/>
          <w:color w:val="000000" w:themeColor="text1"/>
          <w:sz w:val="28"/>
          <w:szCs w:val="28"/>
          <w14:textFill>
            <w14:solidFill>
              <w14:schemeClr w14:val="tx1"/>
            </w14:solidFill>
          </w14:textFill>
        </w:rPr>
        <w:t>）。</w:t>
      </w:r>
    </w:p>
    <w:p w14:paraId="2365C59C">
      <w:pPr>
        <w:tabs>
          <w:tab w:val="left" w:pos="0"/>
        </w:tabs>
        <w:topLinePunct/>
        <w:snapToGrid w:val="0"/>
        <w:spacing w:line="560" w:lineRule="exact"/>
        <w:ind w:right="-85" w:firstLine="565" w:firstLineChars="202"/>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在交易基准日前发生的代垫费用（</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司法</w:t>
      </w:r>
      <w:r>
        <w:rPr>
          <w:rFonts w:asciiTheme="minorEastAsia" w:hAnsiTheme="minorEastAsia" w:eastAsiaTheme="minorEastAsia"/>
          <w:color w:val="000000" w:themeColor="text1"/>
          <w:sz w:val="28"/>
          <w:szCs w:val="28"/>
          <w14:textFill>
            <w14:solidFill>
              <w14:schemeClr w14:val="tx1"/>
            </w14:solidFill>
          </w14:textFill>
        </w:rPr>
        <w:t>评估费）</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人民币</w:t>
      </w:r>
      <w:r>
        <w:rPr>
          <w:rFonts w:hint="default"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柒万零陆佰肆拾元整（</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default" w:asciiTheme="minorEastAsia" w:hAnsiTheme="minorEastAsia" w:eastAsiaTheme="minorEastAsia"/>
          <w:color w:val="000000" w:themeColor="text1"/>
          <w:sz w:val="28"/>
          <w:szCs w:val="28"/>
          <w:lang w:val="en-US"/>
          <w14:textFill>
            <w14:solidFill>
              <w14:schemeClr w14:val="tx1"/>
            </w14:solidFill>
          </w14:textFill>
        </w:rPr>
        <w:t>70,640.00</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）随主债权</w:t>
      </w:r>
      <w:r>
        <w:rPr>
          <w:rFonts w:asciiTheme="minorEastAsia" w:hAnsiTheme="minorEastAsia" w:eastAsiaTheme="minorEastAsia"/>
          <w:color w:val="000000" w:themeColor="text1"/>
          <w:sz w:val="28"/>
          <w:szCs w:val="28"/>
          <w14:textFill>
            <w14:solidFill>
              <w14:schemeClr w14:val="tx1"/>
            </w14:solidFill>
          </w14:textFill>
        </w:rPr>
        <w:t>一并转让。</w:t>
      </w:r>
    </w:p>
    <w:p w14:paraId="73DD4071">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2.3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乙方已被告知并完全理解及同意，甲方在本协议</w:t>
      </w:r>
      <w:r>
        <w:rPr>
          <w:rFonts w:asciiTheme="minorEastAsia" w:hAnsiTheme="minorEastAsia" w:eastAsiaTheme="minorEastAsia"/>
          <w:b/>
          <w:bCs/>
          <w:color w:val="000000" w:themeColor="text1"/>
          <w:sz w:val="28"/>
          <w:szCs w:val="28"/>
          <w14:textFill>
            <w14:solidFill>
              <w14:schemeClr w14:val="tx1"/>
            </w14:solidFill>
          </w14:textFill>
        </w:rPr>
        <w:t>2.2条</w:t>
      </w:r>
      <w:r>
        <w:rPr>
          <w:rFonts w:hint="eastAsia" w:asciiTheme="minorEastAsia" w:hAnsiTheme="minorEastAsia" w:eastAsiaTheme="minorEastAsia"/>
          <w:b/>
          <w:bCs/>
          <w:color w:val="000000" w:themeColor="text1"/>
          <w:sz w:val="28"/>
          <w:szCs w:val="28"/>
          <w14:textFill>
            <w14:solidFill>
              <w14:schemeClr w14:val="tx1"/>
            </w14:solidFill>
          </w14:textFill>
        </w:rPr>
        <w:t>及附件一《标的债权清单》中所列之债权金额仅为甲方根据截至</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2025</w:t>
      </w:r>
      <w:r>
        <w:rPr>
          <w:rFonts w:hint="eastAsia" w:asciiTheme="minorEastAsia" w:hAnsiTheme="minorEastAsia" w:eastAsiaTheme="minorEastAsia"/>
          <w:b/>
          <w:bCs/>
          <w:color w:val="000000" w:themeColor="text1"/>
          <w:sz w:val="28"/>
          <w:szCs w:val="28"/>
          <w14:textFill>
            <w14:solidFill>
              <w14:schemeClr w14:val="tx1"/>
            </w14:solidFill>
          </w14:textFill>
        </w:rPr>
        <w:t>年</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10</w:t>
      </w:r>
      <w:r>
        <w:rPr>
          <w:rFonts w:hint="eastAsia" w:asciiTheme="minorEastAsia" w:hAnsiTheme="minorEastAsia" w:eastAsiaTheme="minorEastAsia"/>
          <w:b/>
          <w:bCs/>
          <w:color w:val="000000" w:themeColor="text1"/>
          <w:sz w:val="28"/>
          <w:szCs w:val="28"/>
          <w14:textFill>
            <w14:solidFill>
              <w14:schemeClr w14:val="tx1"/>
            </w14:solidFill>
          </w14:textFill>
        </w:rPr>
        <w:t>月</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31</w:t>
      </w:r>
      <w:r>
        <w:rPr>
          <w:rFonts w:hint="eastAsia" w:asciiTheme="minorEastAsia" w:hAnsiTheme="minorEastAsia" w:eastAsiaTheme="minorEastAsia"/>
          <w:b/>
          <w:bCs/>
          <w:color w:val="000000" w:themeColor="text1"/>
          <w:sz w:val="28"/>
          <w:szCs w:val="28"/>
          <w14:textFill>
            <w14:solidFill>
              <w14:schemeClr w14:val="tx1"/>
            </w14:solidFill>
          </w14:textFill>
        </w:rPr>
        <w:t>日止的统计资料所作的一般性描述，可能存在计算误差、记录错误，或因其他原因导致乙方实际接收的标的债权所涉金额（包括但不限于本息数，下同）与附件一《标的债权清单》所列金额不完全一致，甲方对此等金额误差、记录错误无须承担任何责任；实际利息数额以及迟延履行金金额应以相关合同、生效法律文书及法律规定等为准；甲方此次系按照标的债权的现状进行转让，若该等债权的有效性、金额与甲方判断或裁判机构最终认定的有效性、金额存在差别、误差，并不属于甲方违约。</w:t>
      </w:r>
    </w:p>
    <w:p w14:paraId="365B84F8">
      <w:pPr>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2.4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在遵守本协议条款和条件的前提下，在</w:t>
      </w:r>
      <w:r>
        <w:rPr>
          <w:rFonts w:hint="eastAsia" w:asciiTheme="minorEastAsia" w:hAnsiTheme="minorEastAsia" w:eastAsiaTheme="minorEastAsia"/>
          <w:color w:val="000000" w:themeColor="text1"/>
          <w:kern w:val="0"/>
          <w:sz w:val="28"/>
          <w:szCs w:val="28"/>
          <w14:textFill>
            <w14:solidFill>
              <w14:schemeClr w14:val="tx1"/>
            </w14:solidFill>
          </w14:textFill>
        </w:rPr>
        <w:t>转让日（无论本协议项下的标的债权转让是否对债务人产生法律效力，下同），自基准日起与债权有关的全部权利自甲方转移至</w:t>
      </w:r>
      <w:r>
        <w:rPr>
          <w:rFonts w:hint="eastAsia"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kern w:val="0"/>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kern w:val="0"/>
          <w:sz w:val="28"/>
          <w:szCs w:val="28"/>
          <w14:textFill>
            <w14:solidFill>
              <w14:schemeClr w14:val="tx1"/>
            </w14:solidFill>
          </w14:textFill>
        </w:rPr>
        <w:t>由此替代</w:t>
      </w:r>
      <w:r>
        <w:rPr>
          <w:rFonts w:hint="eastAsia" w:asciiTheme="minorEastAsia" w:hAnsiTheme="minorEastAsia" w:eastAsiaTheme="minorEastAsia"/>
          <w:color w:val="000000" w:themeColor="text1"/>
          <w:sz w:val="28"/>
          <w:szCs w:val="28"/>
          <w14:textFill>
            <w14:solidFill>
              <w14:schemeClr w14:val="tx1"/>
            </w14:solidFill>
          </w14:textFill>
        </w:rPr>
        <w:t>甲方</w:t>
      </w:r>
      <w:r>
        <w:rPr>
          <w:rFonts w:hint="eastAsia" w:asciiTheme="minorEastAsia" w:hAnsiTheme="minorEastAsia" w:eastAsiaTheme="minorEastAsia"/>
          <w:color w:val="000000" w:themeColor="text1"/>
          <w:kern w:val="0"/>
          <w:sz w:val="28"/>
          <w:szCs w:val="28"/>
          <w14:textFill>
            <w14:solidFill>
              <w14:schemeClr w14:val="tx1"/>
            </w14:solidFill>
          </w14:textFill>
        </w:rPr>
        <w:t>享有债权并承担与债权有关的风险、费用、义务。</w:t>
      </w:r>
    </w:p>
    <w:p w14:paraId="7F39A102">
      <w:pPr>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lang w:bidi="ar"/>
          <w14:textFill>
            <w14:solidFill>
              <w14:schemeClr w14:val="tx1"/>
            </w14:solidFill>
          </w14:textFill>
        </w:rPr>
        <w:t>2.5</w:t>
      </w:r>
      <w:r>
        <w:rPr>
          <w:rFonts w:hint="eastAsia" w:asciiTheme="minorEastAsia" w:hAnsiTheme="minorEastAsia" w:eastAsiaTheme="minorEastAsia"/>
          <w:color w:val="000000" w:themeColor="text1"/>
          <w:kern w:val="0"/>
          <w:sz w:val="28"/>
          <w:szCs w:val="28"/>
          <w:lang w:val="en-US" w:eastAsia="zh-CN" w:bidi="ar"/>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lang w:bidi="ar"/>
          <w14:textFill>
            <w14:solidFill>
              <w14:schemeClr w14:val="tx1"/>
            </w14:solidFill>
          </w14:textFill>
        </w:rPr>
        <w:t xml:space="preserve"> 在交易基准日的次日起，标的债权发生现金收回的，甲方有权选择按照如下方式处理： </w:t>
      </w:r>
    </w:p>
    <w:p w14:paraId="1BE0EDDF">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（1）在甲方收到全部债权转让价款前提下，指示债务人及/或担保人直接向乙方支付； </w:t>
      </w:r>
    </w:p>
    <w:p w14:paraId="3395B117">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（2）在甲方收到全部债权转让价款前提下，在其已收到该等款项后，扣除本协议约定的应由乙方承担的而已由甲方垫付的费用后，转交给乙方；</w:t>
      </w:r>
    </w:p>
    <w:p w14:paraId="69DDC5B9">
      <w:pPr>
        <w:snapToGrid w:val="0"/>
        <w:spacing w:line="560" w:lineRule="exact"/>
        <w:ind w:firstLine="565" w:firstLineChars="202"/>
        <w:rPr>
          <w:rFonts w:hint="eastAsia" w:asciiTheme="minorEastAsia" w:hAnsiTheme="minorEastAsia" w:eastAsiaTheme="minorEastAsia"/>
          <w:color w:val="000000" w:themeColor="text1"/>
          <w:kern w:val="0"/>
          <w:sz w:val="28"/>
          <w:szCs w:val="28"/>
          <w:highlight w:val="yellow"/>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（3）扣除本协议约定的应由乙方承担的而已由甲方垫付的费用后，以该等款项直接冲抵乙方应支付的到期应付转让价款；</w:t>
      </w:r>
    </w:p>
    <w:p w14:paraId="21A28E8D">
      <w:pPr>
        <w:snapToGrid w:val="0"/>
        <w:spacing w:line="560" w:lineRule="exact"/>
        <w:ind w:firstLine="565" w:firstLineChars="202"/>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【如采用分期付款方式的，该条表述为：扣除本协议约定的应由乙方承担的而已由甲方垫付的费用后，该等款项冲抵转让价款的尾款；】</w:t>
      </w:r>
    </w:p>
    <w:p w14:paraId="55482222">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（4）其他甲方认为适合的方式。</w:t>
      </w:r>
    </w:p>
    <w:p w14:paraId="337BA115">
      <w:pPr>
        <w:widowControl/>
        <w:spacing w:line="520" w:lineRule="exact"/>
        <w:ind w:firstLine="555"/>
        <w:rPr>
          <w:rFonts w:hint="default" w:cs="Times New Roman" w:asciiTheme="minorEastAsia" w:hAnsiTheme="minorEastAsia" w:eastAsiaTheme="minorEastAsia"/>
          <w:color w:val="000000" w:themeColor="text1"/>
          <w:kern w:val="0"/>
          <w:sz w:val="28"/>
          <w:szCs w:val="28"/>
          <w:lang w:val="en-US" w:eastAsia="zh-CN"/>
          <w14:textFill>
            <w14:solidFill>
              <w14:schemeClr w14:val="tx1"/>
            </w14:solidFill>
          </w14:textFill>
        </w:rPr>
      </w:pPr>
      <w:r>
        <w:rPr>
          <w:rFonts w:hint="eastAsia" w:cs="Times New Roman" w:asciiTheme="minorEastAsia" w:hAnsiTheme="minorEastAsia" w:eastAsiaTheme="minorEastAsia"/>
          <w:color w:val="000000" w:themeColor="text1"/>
          <w:kern w:val="0"/>
          <w:sz w:val="28"/>
          <w:szCs w:val="28"/>
          <w:lang w:val="en-US" w:eastAsia="zh-CN"/>
          <w14:textFill>
            <w14:solidFill>
              <w14:schemeClr w14:val="tx1"/>
            </w14:solidFill>
          </w14:textFill>
        </w:rPr>
        <w:t>2.6  除上述现金流外，自交易基准日的次日起发生的非现金收益，在乙方付清全部转让价款后，由甲方在交割期间一并转交给乙方。</w:t>
      </w:r>
    </w:p>
    <w:p w14:paraId="5C0D48DE">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bookmarkStart w:id="0" w:name="_Toc67459782"/>
      <w:bookmarkStart w:id="1" w:name="_Toc67385974"/>
      <w:bookmarkStart w:id="2" w:name="_Toc36022322"/>
      <w:bookmarkStart w:id="3" w:name="_Toc67718726"/>
      <w:r>
        <w:rPr>
          <w:rFonts w:hint="eastAsia" w:asciiTheme="minorEastAsia" w:hAnsiTheme="minorEastAsia" w:eastAsiaTheme="minorEastAsia"/>
          <w:b/>
          <w:bCs/>
          <w:color w:val="000000" w:themeColor="text1"/>
          <w:sz w:val="28"/>
          <w:szCs w:val="28"/>
          <w14:textFill>
            <w14:solidFill>
              <w14:schemeClr w14:val="tx1"/>
            </w14:solidFill>
          </w14:textFill>
        </w:rPr>
        <w:t>第三条  债权转让价款及付款</w:t>
      </w:r>
    </w:p>
    <w:p w14:paraId="3516AB54">
      <w:pPr>
        <w:spacing w:line="560" w:lineRule="exact"/>
        <w:ind w:firstLine="562" w:firstLineChars="200"/>
        <w:outlineLvl w:val="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3</w:t>
      </w:r>
      <w:r>
        <w:rPr>
          <w:rFonts w:asciiTheme="minorEastAsia" w:hAnsiTheme="minorEastAsia" w:eastAsiaTheme="minorEastAsia"/>
          <w:b/>
          <w:bCs/>
          <w:color w:val="000000" w:themeColor="text1"/>
          <w:sz w:val="28"/>
          <w:szCs w:val="28"/>
          <w:highlight w:val="none"/>
          <w14:textFill>
            <w14:solidFill>
              <w14:schemeClr w14:val="tx1"/>
            </w14:solidFill>
          </w14:textFill>
        </w:rPr>
        <w:t>.1</w:t>
      </w:r>
      <w:bookmarkStart w:id="4" w:name="_DV_M53"/>
      <w:bookmarkEnd w:id="4"/>
      <w:bookmarkStart w:id="5" w:name="_DV_M50"/>
      <w:bookmarkEnd w:id="5"/>
      <w:bookmarkStart w:id="6" w:name="_DV_M51"/>
      <w:bookmarkEnd w:id="6"/>
      <w:bookmarkStart w:id="7" w:name="_DV_M49"/>
      <w:bookmarkEnd w:id="7"/>
      <w:bookmarkStart w:id="8" w:name="_Hlt99790241"/>
      <w:bookmarkEnd w:id="8"/>
      <w:bookmarkStart w:id="9" w:name="_DV_M52"/>
      <w:bookmarkEnd w:id="9"/>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债权转让价款</w:t>
      </w:r>
    </w:p>
    <w:p w14:paraId="1DA17618">
      <w:pPr>
        <w:spacing w:line="560" w:lineRule="exact"/>
        <w:ind w:firstLine="560" w:firstLineChars="200"/>
        <w:outlineLvl w:val="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各方一致同意，本协议项下标的债权的转让价款为人民币[          ]元（小写：¥[          ]）。</w:t>
      </w:r>
    </w:p>
    <w:p w14:paraId="1B9F8A21">
      <w:pPr>
        <w:spacing w:line="560" w:lineRule="exact"/>
        <w:ind w:firstLine="562" w:firstLineChars="200"/>
        <w:outlineLvl w:val="0"/>
        <w:rPr>
          <w:rFonts w:hint="eastAsia" w:asciiTheme="minorEastAsia" w:hAnsiTheme="minorEastAsia" w:eastAsiaTheme="minorEastAsia"/>
          <w:b/>
          <w:bCs/>
          <w:color w:val="000000" w:themeColor="text1"/>
          <w:sz w:val="28"/>
          <w:szCs w:val="28"/>
          <w:highlight w:val="none"/>
          <w14:textFill>
            <w14:solidFill>
              <w14:schemeClr w14:val="tx1"/>
            </w14:solidFill>
          </w14:textFill>
        </w:rPr>
      </w:pPr>
      <w:bookmarkStart w:id="10" w:name="_Toc100162794"/>
      <w:r>
        <w:rPr>
          <w:rFonts w:asciiTheme="minorEastAsia" w:hAnsiTheme="minorEastAsia" w:eastAsiaTheme="minorEastAsia"/>
          <w:b/>
          <w:bCs/>
          <w:color w:val="000000" w:themeColor="text1"/>
          <w:sz w:val="28"/>
          <w:szCs w:val="28"/>
          <w:highlight w:val="none"/>
          <w14:textFill>
            <w14:solidFill>
              <w14:schemeClr w14:val="tx1"/>
            </w14:solidFill>
          </w14:textFill>
        </w:rPr>
        <w:t>3.2</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lang w:val="en-US" w:eastAsia="zh-CN"/>
          <w14:textFill>
            <w14:solidFill>
              <w14:schemeClr w14:val="tx1"/>
            </w14:solidFill>
          </w14:textFill>
        </w:rPr>
        <w:t xml:space="preserve"> </w:t>
      </w:r>
      <w:r>
        <w:rPr>
          <w:rFonts w:asciiTheme="minorEastAsia" w:hAnsiTheme="minorEastAsia" w:eastAsiaTheme="minorEastAsia"/>
          <w:b/>
          <w:bCs/>
          <w:color w:val="000000" w:themeColor="text1"/>
          <w:sz w:val="28"/>
          <w:szCs w:val="28"/>
          <w:highlight w:val="none"/>
          <w14:textFill>
            <w14:solidFill>
              <w14:schemeClr w14:val="tx1"/>
            </w14:solidFill>
          </w14:textFill>
        </w:rPr>
        <w:t>付款</w:t>
      </w:r>
      <w:bookmarkEnd w:id="10"/>
    </w:p>
    <w:p w14:paraId="174FA022">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Cs/>
          <w:color w:val="000000" w:themeColor="text1"/>
          <w:sz w:val="28"/>
          <w:szCs w:val="28"/>
          <w:highlight w:val="none"/>
          <w14:textFill>
            <w14:solidFill>
              <w14:schemeClr w14:val="tx1"/>
            </w14:solidFill>
          </w14:textFill>
        </w:rPr>
        <w:t xml:space="preserve">3.2.1 </w:t>
      </w:r>
      <w:r>
        <w:rPr>
          <w:rFonts w:hint="eastAsia" w:asciiTheme="minorEastAsia" w:hAnsiTheme="minorEastAsia" w:eastAsiaTheme="minorEastAsia"/>
          <w:bCs/>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乙方应在自</w:t>
      </w:r>
      <w:r>
        <w:rPr>
          <w:rFonts w:hint="eastAsia" w:asciiTheme="minorEastAsia" w:hAnsiTheme="minorEastAsia" w:eastAsiaTheme="minorEastAsia"/>
          <w:color w:val="000000" w:themeColor="text1"/>
          <w:sz w:val="28"/>
          <w:szCs w:val="28"/>
          <w14:textFill>
            <w14:solidFill>
              <w14:schemeClr w14:val="tx1"/>
            </w14:solidFill>
          </w14:textFill>
        </w:rPr>
        <w:t>本协议生效之日起的</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color w:val="000000" w:themeColor="text1"/>
          <w:sz w:val="28"/>
          <w:szCs w:val="28"/>
          <w14:textFill>
            <w14:solidFill>
              <w14:schemeClr w14:val="tx1"/>
            </w14:solidFill>
          </w14:textFill>
        </w:rPr>
        <w:t>个工作日内将全部转让价款一次性支付至甲方的指定账户中。</w:t>
      </w:r>
    </w:p>
    <w:p w14:paraId="4D47B73D">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乙方签署本协议的行为本身即意味着无条件向甲方支付标的债权转让价款，乙方同意不得以任何原因延迟、拒绝支付或请求返还部分或全部标的债权转让价款。</w:t>
      </w:r>
    </w:p>
    <w:p w14:paraId="4C3EE95E">
      <w:pPr>
        <w:pStyle w:val="29"/>
        <w:widowControl w:val="0"/>
        <w:spacing w:line="560" w:lineRule="exact"/>
        <w:ind w:firstLine="560" w:firstLineChars="200"/>
        <w:rPr>
          <w:rFonts w:hint="eastAsia" w:asciiTheme="minorEastAsia" w:hAnsiTheme="minorEastAsia" w:eastAsiaTheme="minorEastAsia"/>
          <w:bCs/>
          <w:color w:val="000000" w:themeColor="text1"/>
          <w:sz w:val="28"/>
          <w:szCs w:val="28"/>
          <w:highlight w:val="yellow"/>
          <w:lang w:val="en-US" w:eastAsia="zh-CN"/>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【分期付款条件下采用此表述：</w:t>
      </w:r>
      <w:r>
        <w:rPr>
          <w:rFonts w:hint="eastAsia" w:asciiTheme="minorEastAsia" w:hAnsiTheme="minorEastAsia" w:eastAsiaTheme="minorEastAsia"/>
          <w:bCs/>
          <w:color w:val="000000" w:themeColor="text1"/>
          <w:sz w:val="28"/>
          <w:szCs w:val="28"/>
          <w:highlight w:val="none"/>
          <w:lang w:val="en-US" w:eastAsia="zh-CN"/>
          <w14:textFill>
            <w14:solidFill>
              <w14:schemeClr w14:val="tx1"/>
            </w14:solidFill>
          </w14:textFill>
        </w:rPr>
        <w:t>乙方应在《债权转让协议》签订后3个工作日内向甲方支付转让价款的首付款，首付款不低于转让价款的30%，剩余应付未付转让价款于本协议签订后的两年内支付完毕，同时需向甲方缴纳资金占用费（资金占用费以应付未付转让价款为基数按照5%/年的标准，向甲方支付）。】</w:t>
      </w:r>
    </w:p>
    <w:p w14:paraId="1C8FDB76">
      <w:pPr>
        <w:pStyle w:val="29"/>
        <w:widowControl w:val="0"/>
        <w:spacing w:line="560" w:lineRule="exact"/>
        <w:ind w:firstLine="425" w:firstLineChars="152"/>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bCs/>
          <w:color w:val="000000" w:themeColor="text1"/>
          <w:sz w:val="28"/>
          <w:szCs w:val="28"/>
          <w:highlight w:val="none"/>
          <w14:textFill>
            <w14:solidFill>
              <w14:schemeClr w14:val="tx1"/>
            </w14:solidFill>
          </w14:textFill>
        </w:rPr>
        <w:t>3.2.2</w:t>
      </w:r>
      <w:r>
        <w:rPr>
          <w:rFonts w:hint="eastAsia" w:asciiTheme="minorEastAsia" w:hAnsiTheme="minorEastAsia" w:eastAsiaTheme="minorEastAsia"/>
          <w:bCs/>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bCs/>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甲方的指定账户为：</w:t>
      </w:r>
    </w:p>
    <w:p w14:paraId="6C7D6FF8">
      <w:pPr>
        <w:pStyle w:val="29"/>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开户银行：</w:t>
      </w:r>
    </w:p>
    <w:p w14:paraId="1B2801CB">
      <w:pPr>
        <w:pStyle w:val="29"/>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户名：</w:t>
      </w:r>
    </w:p>
    <w:p w14:paraId="70904684">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账户：</w:t>
      </w:r>
    </w:p>
    <w:p w14:paraId="6B382698">
      <w:pPr>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3.3</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交易保证金</w:t>
      </w:r>
    </w:p>
    <w:p w14:paraId="2237C3E9">
      <w:pPr>
        <w:snapToGrid w:val="0"/>
        <w:spacing w:line="560" w:lineRule="exact"/>
        <w:ind w:firstLine="565" w:firstLineChars="202"/>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3.3.1</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各方确认，</w:t>
      </w:r>
      <w:r>
        <w:rPr>
          <w:rFonts w:asciiTheme="minorEastAsia" w:hAnsiTheme="minorEastAsia" w:eastAsiaTheme="minorEastAsia"/>
          <w:color w:val="000000" w:themeColor="text1"/>
          <w:sz w:val="28"/>
          <w:szCs w:val="28"/>
          <w14:textFill>
            <w14:solidFill>
              <w14:schemeClr w14:val="tx1"/>
            </w14:solidFill>
          </w14:textFill>
        </w:rPr>
        <w:t>乙方已于</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月</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日向</w:t>
      </w:r>
      <w:r>
        <w:rPr>
          <w:rFonts w:hint="eastAsia" w:asciiTheme="minorEastAsia" w:hAnsiTheme="minorEastAsia" w:eastAsiaTheme="minorEastAsia"/>
          <w:color w:val="000000" w:themeColor="text1"/>
          <w:sz w:val="28"/>
          <w:szCs w:val="28"/>
          <w14:textFill>
            <w14:solidFill>
              <w14:schemeClr w14:val="tx1"/>
            </w14:solidFill>
          </w14:textFill>
        </w:rPr>
        <w:t>甲</w:t>
      </w:r>
      <w:r>
        <w:rPr>
          <w:rFonts w:asciiTheme="minorEastAsia" w:hAnsiTheme="minorEastAsia" w:eastAsiaTheme="minorEastAsia"/>
          <w:color w:val="000000" w:themeColor="text1"/>
          <w:sz w:val="28"/>
          <w:szCs w:val="28"/>
          <w14:textFill>
            <w14:solidFill>
              <w14:schemeClr w14:val="tx1"/>
            </w14:solidFill>
          </w14:textFill>
        </w:rPr>
        <w:t>方先行交纳交易保证金</w:t>
      </w:r>
      <w:r>
        <w:rPr>
          <w:rFonts w:hint="eastAsia" w:asciiTheme="minorEastAsia" w:hAnsiTheme="minorEastAsia" w:eastAsiaTheme="minorEastAsia"/>
          <w:color w:val="000000" w:themeColor="text1"/>
          <w:sz w:val="28"/>
          <w:szCs w:val="28"/>
          <w14:textFill>
            <w14:solidFill>
              <w14:schemeClr w14:val="tx1"/>
            </w14:solidFill>
          </w14:textFill>
        </w:rPr>
        <w:t>人民币壹佰万元整（小写：¥</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w:t>
      </w:r>
      <w:r>
        <w:rPr>
          <w:rFonts w:hint="default" w:asciiTheme="minorEastAsia" w:hAnsiTheme="minorEastAsia" w:eastAsiaTheme="minorEastAsia"/>
          <w:color w:val="000000" w:themeColor="text1"/>
          <w:sz w:val="28"/>
          <w:szCs w:val="28"/>
          <w:lang w:val="en-US" w:eastAsia="zh-CN"/>
          <w14:textFill>
            <w14:solidFill>
              <w14:schemeClr w14:val="tx1"/>
            </w14:solidFill>
          </w14:textFill>
        </w:rPr>
        <w:t>,000,000.00</w:t>
      </w:r>
      <w:r>
        <w:rPr>
          <w:rFonts w:hint="eastAsia" w:asciiTheme="minorEastAsia" w:hAnsiTheme="minorEastAsia" w:eastAsiaTheme="minorEastAsia"/>
          <w:color w:val="000000" w:themeColor="text1"/>
          <w:sz w:val="28"/>
          <w:szCs w:val="28"/>
          <w14:textFill>
            <w14:solidFill>
              <w14:schemeClr w14:val="tx1"/>
            </w14:solidFill>
          </w14:textFill>
        </w:rPr>
        <w:t>）</w:t>
      </w:r>
      <w:r>
        <w:rPr>
          <w:rFonts w:asciiTheme="minorEastAsia" w:hAnsiTheme="minorEastAsia" w:eastAsiaTheme="minorEastAsia"/>
          <w:color w:val="000000" w:themeColor="text1"/>
          <w:sz w:val="28"/>
          <w:szCs w:val="28"/>
          <w14:textFill>
            <w14:solidFill>
              <w14:schemeClr w14:val="tx1"/>
            </w14:solidFill>
          </w14:textFill>
        </w:rPr>
        <w:t>。</w:t>
      </w:r>
    </w:p>
    <w:p w14:paraId="13EF3DFA">
      <w:pPr>
        <w:snapToGrid w:val="0"/>
        <w:spacing w:line="560" w:lineRule="exact"/>
        <w:ind w:firstLine="565" w:firstLineChars="202"/>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3.3.</w:t>
      </w:r>
      <w:r>
        <w:rPr>
          <w:rFonts w:hint="eastAsia" w:asciiTheme="minorEastAsia" w:hAnsiTheme="minorEastAsia" w:eastAsiaTheme="minorEastAsia"/>
          <w:color w:val="000000" w:themeColor="text1"/>
          <w:sz w:val="28"/>
          <w:szCs w:val="28"/>
          <w14:textFill>
            <w14:solidFill>
              <w14:schemeClr w14:val="tx1"/>
            </w14:solidFill>
          </w14:textFill>
        </w:rPr>
        <w:t xml:space="preserve">2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乙方交付的</w:t>
      </w:r>
      <w:r>
        <w:rPr>
          <w:rFonts w:asciiTheme="minorEastAsia" w:hAnsiTheme="minorEastAsia" w:eastAsiaTheme="minorEastAsia"/>
          <w:color w:val="000000" w:themeColor="text1"/>
          <w:sz w:val="28"/>
          <w:szCs w:val="28"/>
          <w14:textFill>
            <w14:solidFill>
              <w14:schemeClr w14:val="tx1"/>
            </w14:solidFill>
          </w14:textFill>
        </w:rPr>
        <w:t>交易保证金</w:t>
      </w:r>
      <w:r>
        <w:rPr>
          <w:rFonts w:hint="eastAsia" w:asciiTheme="minorEastAsia" w:hAnsiTheme="minorEastAsia" w:eastAsiaTheme="minorEastAsia"/>
          <w:color w:val="000000" w:themeColor="text1"/>
          <w:sz w:val="28"/>
          <w:szCs w:val="28"/>
          <w14:textFill>
            <w14:solidFill>
              <w14:schemeClr w14:val="tx1"/>
            </w14:solidFill>
          </w14:textFill>
        </w:rPr>
        <w:t>（不计利息）可相应充抵乙方应向甲方支付的转让价款</w:t>
      </w:r>
      <w:r>
        <w:rPr>
          <w:rFonts w:hint="eastAsia" w:asciiTheme="minorEastAsia" w:hAnsiTheme="minorEastAsia" w:eastAsiaTheme="minorEastAsia"/>
          <w:color w:val="000000" w:themeColor="text1"/>
          <w:sz w:val="28"/>
          <w:szCs w:val="28"/>
          <w:highlight w:val="none"/>
          <w14:textFill>
            <w14:solidFill>
              <w14:schemeClr w14:val="tx1"/>
            </w14:solidFill>
          </w14:textFill>
        </w:rPr>
        <w:t>；采用分期付款方式的，该保证金折抵为转让价款的尾款。</w:t>
      </w:r>
    </w:p>
    <w:p w14:paraId="07A8AA7C">
      <w:pPr>
        <w:snapToGrid w:val="0"/>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3.3.</w:t>
      </w:r>
      <w:r>
        <w:rPr>
          <w:rFonts w:hint="eastAsia" w:asciiTheme="minorEastAsia" w:hAnsiTheme="minorEastAsia" w:eastAsiaTheme="minorEastAsia"/>
          <w:b/>
          <w:bCs/>
          <w:color w:val="000000" w:themeColor="text1"/>
          <w:sz w:val="28"/>
          <w:szCs w:val="28"/>
          <w14:textFill>
            <w14:solidFill>
              <w14:schemeClr w14:val="tx1"/>
            </w14:solidFill>
          </w14:textFill>
        </w:rPr>
        <w:t>3</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如果乙方存在违反《</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竞价公告</w:t>
      </w:r>
      <w:r>
        <w:rPr>
          <w:rFonts w:hint="eastAsia" w:asciiTheme="minorEastAsia" w:hAnsiTheme="minorEastAsia" w:eastAsiaTheme="minorEastAsia"/>
          <w:b/>
          <w:bCs/>
          <w:color w:val="000000" w:themeColor="text1"/>
          <w:sz w:val="28"/>
          <w:szCs w:val="28"/>
          <w14:textFill>
            <w14:solidFill>
              <w14:schemeClr w14:val="tx1"/>
            </w14:solidFill>
          </w14:textFill>
        </w:rPr>
        <w:t>》、《竞</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买</w:t>
      </w:r>
      <w:r>
        <w:rPr>
          <w:rFonts w:hint="eastAsia" w:asciiTheme="minorEastAsia" w:hAnsiTheme="minorEastAsia" w:eastAsiaTheme="minorEastAsia"/>
          <w:b/>
          <w:bCs/>
          <w:color w:val="000000" w:themeColor="text1"/>
          <w:sz w:val="28"/>
          <w:szCs w:val="28"/>
          <w14:textFill>
            <w14:solidFill>
              <w14:schemeClr w14:val="tx1"/>
            </w14:solidFill>
          </w14:textFill>
        </w:rPr>
        <w:t>须知》、《保密承诺函》等文件的行为，甲方有权没收乙方全部交易保证金。</w:t>
      </w:r>
    </w:p>
    <w:p w14:paraId="37467535">
      <w:pPr>
        <w:adjustRightInd w:val="0"/>
        <w:snapToGrid w:val="0"/>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bookmarkStart w:id="11" w:name="_Toc215480512"/>
      <w:r>
        <w:rPr>
          <w:rFonts w:asciiTheme="minorEastAsia" w:hAnsiTheme="minorEastAsia" w:eastAsiaTheme="minorEastAsia"/>
          <w:b/>
          <w:color w:val="000000" w:themeColor="text1"/>
          <w:sz w:val="28"/>
          <w:szCs w:val="28"/>
          <w14:textFill>
            <w14:solidFill>
              <w14:schemeClr w14:val="tx1"/>
            </w14:solidFill>
          </w14:textFill>
        </w:rPr>
        <w:t>3.4</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color w:val="000000" w:themeColor="text1"/>
          <w:sz w:val="28"/>
          <w:szCs w:val="28"/>
          <w14:textFill>
            <w14:solidFill>
              <w14:schemeClr w14:val="tx1"/>
            </w14:solidFill>
          </w14:textFill>
        </w:rPr>
        <w:t>不做扣减</w:t>
      </w:r>
      <w:bookmarkEnd w:id="11"/>
    </w:p>
    <w:p w14:paraId="712E2DB5">
      <w:pPr>
        <w:adjustRightInd w:val="0"/>
        <w:snapToGrid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除</w:t>
      </w:r>
      <w:r>
        <w:rPr>
          <w:rFonts w:asciiTheme="minorEastAsia" w:hAnsiTheme="minorEastAsia" w:eastAsiaTheme="minorEastAsia"/>
          <w:color w:val="000000" w:themeColor="text1"/>
          <w:sz w:val="28"/>
          <w:szCs w:val="28"/>
          <w14:textFill>
            <w14:solidFill>
              <w14:schemeClr w14:val="tx1"/>
            </w14:solidFill>
          </w14:textFill>
        </w:rPr>
        <w:t>本协议</w:t>
      </w:r>
      <w:r>
        <w:rPr>
          <w:rFonts w:hint="eastAsia" w:asciiTheme="minorEastAsia" w:hAnsiTheme="minorEastAsia" w:eastAsiaTheme="minorEastAsia"/>
          <w:color w:val="000000" w:themeColor="text1"/>
          <w:sz w:val="28"/>
          <w:szCs w:val="28"/>
          <w14:textFill>
            <w14:solidFill>
              <w14:schemeClr w14:val="tx1"/>
            </w14:solidFill>
          </w14:textFill>
        </w:rPr>
        <w:t>明确约定外，</w:t>
      </w:r>
      <w:r>
        <w:rPr>
          <w:rFonts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sz w:val="28"/>
          <w:szCs w:val="28"/>
          <w14:textFill>
            <w14:solidFill>
              <w14:schemeClr w14:val="tx1"/>
            </w14:solidFill>
          </w14:textFill>
        </w:rPr>
        <w:t>在</w:t>
      </w:r>
      <w:r>
        <w:rPr>
          <w:rFonts w:asciiTheme="minorEastAsia" w:hAnsiTheme="minorEastAsia" w:eastAsiaTheme="minorEastAsia"/>
          <w:color w:val="000000" w:themeColor="text1"/>
          <w:sz w:val="28"/>
          <w:szCs w:val="28"/>
          <w14:textFill>
            <w14:solidFill>
              <w14:schemeClr w14:val="tx1"/>
            </w14:solidFill>
          </w14:textFill>
        </w:rPr>
        <w:t>本协议</w:t>
      </w:r>
      <w:r>
        <w:rPr>
          <w:rFonts w:hint="eastAsia" w:asciiTheme="minorEastAsia" w:hAnsiTheme="minorEastAsia" w:eastAsiaTheme="minorEastAsia"/>
          <w:color w:val="000000" w:themeColor="text1"/>
          <w:sz w:val="28"/>
          <w:szCs w:val="28"/>
          <w14:textFill>
            <w14:solidFill>
              <w14:schemeClr w14:val="tx1"/>
            </w14:solidFill>
          </w14:textFill>
        </w:rPr>
        <w:t>项下的所有付款不应进行任何扣减、任何性质的抵扣、或附加任何限制或条件，并且该等付款应免于扣除任何税款或任何性质的其他扣减。</w:t>
      </w:r>
    </w:p>
    <w:bookmarkEnd w:id="0"/>
    <w:bookmarkEnd w:id="1"/>
    <w:bookmarkEnd w:id="2"/>
    <w:bookmarkEnd w:id="3"/>
    <w:p w14:paraId="384CEF23">
      <w:pPr>
        <w:pStyle w:val="29"/>
        <w:widowControl w:val="0"/>
        <w:spacing w:line="560" w:lineRule="exact"/>
        <w:ind w:firstLine="562" w:firstLineChars="200"/>
        <w:rPr>
          <w:rFonts w:hint="eastAsia" w:asciiTheme="minorEastAsia" w:hAnsiTheme="minorEastAsia" w:eastAsiaTheme="minorEastAsia"/>
          <w:b/>
          <w:bCs/>
          <w:snapToGrid/>
          <w:color w:val="000000" w:themeColor="text1"/>
          <w:kern w:val="2"/>
          <w:sz w:val="28"/>
          <w:szCs w:val="28"/>
          <w14:textFill>
            <w14:solidFill>
              <w14:schemeClr w14:val="tx1"/>
            </w14:solidFill>
          </w14:textFill>
        </w:rPr>
      </w:pPr>
      <w:bookmarkStart w:id="12" w:name="_Toc67718733"/>
      <w:bookmarkStart w:id="13" w:name="_Toc67459789"/>
      <w:bookmarkStart w:id="14" w:name="_Toc67385981"/>
      <w:bookmarkStart w:id="15" w:name="_Toc36022336"/>
      <w:bookmarkStart w:id="16" w:name="_Toc58517669"/>
      <w:r>
        <w:rPr>
          <w:rFonts w:asciiTheme="minorEastAsia" w:hAnsiTheme="minorEastAsia" w:eastAsiaTheme="minorEastAsia"/>
          <w:b/>
          <w:bCs/>
          <w:snapToGrid/>
          <w:color w:val="000000" w:themeColor="text1"/>
          <w:kern w:val="2"/>
          <w:sz w:val="28"/>
          <w:szCs w:val="28"/>
          <w14:textFill>
            <w14:solidFill>
              <w14:schemeClr w14:val="tx1"/>
            </w14:solidFill>
          </w14:textFill>
        </w:rPr>
        <w:t>3.5</w:t>
      </w:r>
      <w:r>
        <w:rPr>
          <w:rFonts w:hint="eastAsia" w:asciiTheme="minorEastAsia" w:hAnsiTheme="minorEastAsia" w:eastAsiaTheme="minorEastAsia"/>
          <w:b/>
          <w:bCs/>
          <w:snapToGrid/>
          <w:color w:val="000000" w:themeColor="text1"/>
          <w:kern w:val="2"/>
          <w:sz w:val="28"/>
          <w:szCs w:val="28"/>
          <w14:textFill>
            <w14:solidFill>
              <w14:schemeClr w14:val="tx1"/>
            </w14:solidFill>
          </w14:textFill>
        </w:rPr>
        <w:t xml:space="preserve"> </w:t>
      </w:r>
      <w:r>
        <w:rPr>
          <w:rFonts w:hint="eastAsia" w:asciiTheme="minorEastAsia" w:hAnsiTheme="minorEastAsia" w:eastAsiaTheme="minorEastAsia"/>
          <w:b/>
          <w:bCs/>
          <w:snapToGrid/>
          <w:color w:val="000000" w:themeColor="text1"/>
          <w:kern w:val="2"/>
          <w:sz w:val="28"/>
          <w:szCs w:val="28"/>
          <w:lang w:val="en-US" w:eastAsia="zh-CN"/>
          <w14:textFill>
            <w14:solidFill>
              <w14:schemeClr w14:val="tx1"/>
            </w14:solidFill>
          </w14:textFill>
        </w:rPr>
        <w:t xml:space="preserve"> </w:t>
      </w:r>
      <w:r>
        <w:rPr>
          <w:rFonts w:hint="eastAsia" w:asciiTheme="minorEastAsia" w:hAnsiTheme="minorEastAsia" w:eastAsiaTheme="minorEastAsia"/>
          <w:b/>
          <w:bCs/>
          <w:snapToGrid/>
          <w:color w:val="000000" w:themeColor="text1"/>
          <w:kern w:val="2"/>
          <w:sz w:val="28"/>
          <w:szCs w:val="28"/>
          <w14:textFill>
            <w14:solidFill>
              <w14:schemeClr w14:val="tx1"/>
            </w14:solidFill>
          </w14:textFill>
        </w:rPr>
        <w:t>税费</w:t>
      </w:r>
      <w:bookmarkEnd w:id="12"/>
      <w:bookmarkEnd w:id="13"/>
      <w:bookmarkEnd w:id="14"/>
      <w:bookmarkEnd w:id="15"/>
      <w:bookmarkEnd w:id="16"/>
      <w:r>
        <w:rPr>
          <w:rFonts w:hint="eastAsia" w:asciiTheme="minorEastAsia" w:hAnsiTheme="minorEastAsia" w:eastAsiaTheme="minorEastAsia"/>
          <w:b/>
          <w:bCs/>
          <w:snapToGrid/>
          <w:color w:val="000000" w:themeColor="text1"/>
          <w:kern w:val="2"/>
          <w:sz w:val="28"/>
          <w:szCs w:val="28"/>
          <w14:textFill>
            <w14:solidFill>
              <w14:schemeClr w14:val="tx1"/>
            </w14:solidFill>
          </w14:textFill>
        </w:rPr>
        <w:t>承担</w:t>
      </w:r>
    </w:p>
    <w:p w14:paraId="1AEC528A">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3.5.1</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各方应当依照有关法律法规规定，各自承担与本次债权转让有关的任何税费。</w:t>
      </w:r>
    </w:p>
    <w:p w14:paraId="1E77BDB5">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3.5.2</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除本协议另有约定外，自交易基准日（不含该日）起所发生的为实现本协议项下转让债权价值和弥补债权缺陷和瑕疵所发生的费用，包括但不限于过户费用、物业管理费、保管费、诉讼费等均由乙方承担。</w:t>
      </w:r>
    </w:p>
    <w:p w14:paraId="1ECAF4E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14:paraId="0E69EE4A">
      <w:pPr>
        <w:spacing w:line="560" w:lineRule="exact"/>
        <w:ind w:firstLine="56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第四条  过渡期及交割完毕前标的债权的管理和处置</w:t>
      </w:r>
    </w:p>
    <w:p w14:paraId="7B2A3B9C">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4.1</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在过渡期内，甲方拥有对标的债权的自主管理、处置权，</w:t>
      </w:r>
      <w:r>
        <w:rPr>
          <w:rFonts w:hint="eastAsia" w:asciiTheme="minorEastAsia" w:hAnsiTheme="minorEastAsia" w:eastAsiaTheme="minorEastAsia"/>
          <w:color w:val="000000" w:themeColor="text1"/>
          <w:sz w:val="28"/>
          <w:szCs w:val="28"/>
          <w14:textFill>
            <w14:solidFill>
              <w14:schemeClr w14:val="tx1"/>
            </w14:solidFill>
          </w14:textFill>
        </w:rPr>
        <w:t>并按照下列原则管理、处置标的债权：（1）遵守国家相关法律法规的规定；（2）遵守甲方制定的有关资产管理和处置的规定。</w:t>
      </w:r>
    </w:p>
    <w:p w14:paraId="6133D835">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4.2</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在过渡期内，甲方应对标的债权涉及相应诉讼时效和/或法定期间进行维护，但代位权和撤销权的行使除外。如标的债权在基准日之前已经超过诉讼时效、法定期间或因其他原因已部分消灭等，则不属于甲方维护的范围。</w:t>
      </w:r>
    </w:p>
    <w:p w14:paraId="74DF78F6">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4.3</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乙方确认，在过渡期内，甲方就标的债权进行过的全部或部分处置、管理行为，为维护债权或其它相关权利而采取的所有措施，以及因采取这些行为、措施而产生的相应处置结果，乙方同意无条件予以认可并接受。</w:t>
      </w:r>
    </w:p>
    <w:p w14:paraId="4594A8E1">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w:t>
      </w:r>
      <w:r>
        <w:rPr>
          <w:rFonts w:hint="eastAsia" w:asciiTheme="minorEastAsia" w:hAnsiTheme="minorEastAsia" w:eastAsiaTheme="minorEastAsia"/>
          <w:color w:val="000000" w:themeColor="text1"/>
          <w:sz w:val="28"/>
          <w:szCs w:val="28"/>
          <w14:textFill>
            <w14:solidFill>
              <w14:schemeClr w14:val="tx1"/>
            </w14:solidFill>
          </w14:textFill>
        </w:rPr>
        <w:t>4</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在过渡期内，甲方因管理处置和维护标的债权而产生的相关费用（包括：</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诉讼费、评估费等</w:t>
      </w:r>
      <w:r>
        <w:rPr>
          <w:rFonts w:hint="eastAsia" w:asciiTheme="minorEastAsia" w:hAnsiTheme="minorEastAsia" w:eastAsiaTheme="minorEastAsia"/>
          <w:b/>
          <w:bCs/>
          <w:color w:val="000000" w:themeColor="text1"/>
          <w:sz w:val="28"/>
          <w:szCs w:val="28"/>
          <w14:textFill>
            <w14:solidFill>
              <w14:schemeClr w14:val="tx1"/>
            </w14:solidFill>
          </w14:textFill>
        </w:rPr>
        <w:t>），由乙方承担，甲方应提供相关费用的有效证明（复印件）。该费用由甲方在回收现金中直接予以扣除，但无现金回收或现金少于费用的，乙方应按甲方的通知支付相应费用，否则，每迟延一日，应向甲方支付应付未付款项的万分之五作为违约金。</w:t>
      </w:r>
    </w:p>
    <w:p w14:paraId="339E2B8B">
      <w:pPr>
        <w:snapToGrid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4.5</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自转让日起至交割完毕之日，甲方除对标的债权根据以往的管理方式进行管理外，不再进行任何主动处置。过渡期后交割完毕前乙方要求对全部或部分标的债权进行处置的，甲方可以选择自收到乙方书面明确处置要求之日起合理时间内加速交割予乙方自行处置，或依据乙方的要求出售或以其他方式进行处置，处置费用及责任由乙方自行承担，甲方对该等债权不再承担任何责任，并且该等债权一经按照乙方要求被出售或处置，乙方应当视为已经放弃了就该等债权对甲方违反其在本协议项下声明和保证主张权利的权利，且对依照乙方的要求而采取的作为或不作为所直接导致的任何对甲方声明和保证的违反，甲方不承担责任。</w:t>
      </w:r>
    </w:p>
    <w:p w14:paraId="316A0FAB">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w:t>
      </w:r>
      <w:bookmarkStart w:id="17" w:name="_Toc174775896"/>
      <w:r>
        <w:rPr>
          <w:rFonts w:hint="eastAsia" w:asciiTheme="minorEastAsia" w:hAnsiTheme="minorEastAsia" w:eastAsiaTheme="minorEastAsia"/>
          <w:color w:val="000000" w:themeColor="text1"/>
          <w:sz w:val="28"/>
          <w:szCs w:val="28"/>
          <w14:textFill>
            <w14:solidFill>
              <w14:schemeClr w14:val="tx1"/>
            </w14:solidFill>
          </w14:textFill>
        </w:rPr>
        <w:t xml:space="preserve">6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为避免任何疑义，乙方确认，在交割完毕前，甲方根据本协议规定或乙方要求对标的债权进行管理与处置，仅需尽到谨慎、善良的注意义务，</w:t>
      </w:r>
      <w:r>
        <w:rPr>
          <w:rFonts w:asciiTheme="minorEastAsia" w:hAnsiTheme="minorEastAsia" w:eastAsiaTheme="minorEastAsia"/>
          <w:b/>
          <w:bCs/>
          <w:color w:val="000000" w:themeColor="text1"/>
          <w:sz w:val="28"/>
          <w:szCs w:val="28"/>
          <w14:textFill>
            <w14:solidFill>
              <w14:schemeClr w14:val="tx1"/>
            </w14:solidFill>
          </w14:textFill>
        </w:rPr>
        <w:t>除因故意或</w:t>
      </w:r>
      <w:r>
        <w:rPr>
          <w:rFonts w:hint="eastAsia" w:asciiTheme="minorEastAsia" w:hAnsiTheme="minorEastAsia" w:eastAsiaTheme="minorEastAsia"/>
          <w:b/>
          <w:bCs/>
          <w:color w:val="000000" w:themeColor="text1"/>
          <w:sz w:val="28"/>
          <w:szCs w:val="28"/>
          <w14:textFill>
            <w14:solidFill>
              <w14:schemeClr w14:val="tx1"/>
            </w14:solidFill>
          </w14:textFill>
        </w:rPr>
        <w:t>重大</w:t>
      </w:r>
      <w:r>
        <w:rPr>
          <w:rFonts w:asciiTheme="minorEastAsia" w:hAnsiTheme="minorEastAsia" w:eastAsiaTheme="minorEastAsia"/>
          <w:b/>
          <w:bCs/>
          <w:color w:val="000000" w:themeColor="text1"/>
          <w:sz w:val="28"/>
          <w:szCs w:val="28"/>
          <w14:textFill>
            <w14:solidFill>
              <w14:schemeClr w14:val="tx1"/>
            </w14:solidFill>
          </w14:textFill>
        </w:rPr>
        <w:t>过失外，</w:t>
      </w:r>
      <w:r>
        <w:rPr>
          <w:rFonts w:hint="eastAsia" w:asciiTheme="minorEastAsia" w:hAnsiTheme="minorEastAsia" w:eastAsiaTheme="minorEastAsia"/>
          <w:b/>
          <w:bCs/>
          <w:color w:val="000000" w:themeColor="text1"/>
          <w:sz w:val="28"/>
          <w:szCs w:val="28"/>
          <w14:textFill>
            <w14:solidFill>
              <w14:schemeClr w14:val="tx1"/>
            </w14:solidFill>
          </w14:textFill>
        </w:rPr>
        <w:t>甲方</w:t>
      </w:r>
      <w:r>
        <w:rPr>
          <w:rFonts w:asciiTheme="minorEastAsia" w:hAnsiTheme="minorEastAsia" w:eastAsiaTheme="minorEastAsia"/>
          <w:b/>
          <w:bCs/>
          <w:color w:val="000000" w:themeColor="text1"/>
          <w:sz w:val="28"/>
          <w:szCs w:val="28"/>
          <w14:textFill>
            <w14:solidFill>
              <w14:schemeClr w14:val="tx1"/>
            </w14:solidFill>
          </w14:textFill>
        </w:rPr>
        <w:t>对管理与处置的任何相关后果不承担任何责任。</w:t>
      </w:r>
    </w:p>
    <w:bookmarkEnd w:id="17"/>
    <w:p w14:paraId="4862A152">
      <w:pPr>
        <w:spacing w:line="560" w:lineRule="exact"/>
        <w:ind w:firstLine="562" w:firstLineChars="200"/>
        <w:rPr>
          <w:rFonts w:hint="default" w:asciiTheme="minorEastAsia" w:hAnsiTheme="minorEastAsia" w:eastAsiaTheme="minorEastAsia"/>
          <w:b/>
          <w:bCs/>
          <w:color w:val="000000" w:themeColor="text1"/>
          <w:sz w:val="28"/>
          <w:szCs w:val="28"/>
          <w:highlight w:val="none"/>
          <w:lang w:val="en-US" w:eastAsia="zh-CN"/>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lang w:val="en-US" w:eastAsia="zh-CN"/>
          <w14:textFill>
            <w14:solidFill>
              <w14:schemeClr w14:val="tx1"/>
            </w14:solidFill>
          </w14:textFill>
        </w:rPr>
        <w:t>【</w:t>
      </w:r>
      <w:bookmarkStart w:id="32" w:name="_GoBack"/>
      <w:r>
        <w:rPr>
          <w:rFonts w:hint="eastAsia" w:asciiTheme="minorEastAsia" w:hAnsiTheme="minorEastAsia" w:eastAsiaTheme="minorEastAsia"/>
          <w:b/>
          <w:bCs/>
          <w:color w:val="000000" w:themeColor="text1"/>
          <w:sz w:val="28"/>
          <w:szCs w:val="28"/>
          <w:highlight w:val="none"/>
          <w:lang w:val="en-US" w:eastAsia="zh-CN"/>
          <w14:textFill>
            <w14:solidFill>
              <w14:schemeClr w14:val="tx1"/>
            </w14:solidFill>
          </w14:textFill>
        </w:rPr>
        <w:t>如为分期付款的：</w:t>
      </w:r>
      <w:bookmarkEnd w:id="32"/>
      <w:r>
        <w:rPr>
          <w:rFonts w:hint="eastAsia" w:asciiTheme="minorEastAsia" w:hAnsiTheme="minorEastAsia" w:eastAsiaTheme="minorEastAsia"/>
          <w:b/>
          <w:bCs/>
          <w:color w:val="000000" w:themeColor="text1"/>
          <w:sz w:val="28"/>
          <w:szCs w:val="28"/>
          <w:highlight w:val="none"/>
          <w:lang w:val="en-US" w:eastAsia="zh-CN"/>
          <w14:textFill>
            <w14:solidFill>
              <w14:schemeClr w14:val="tx1"/>
            </w14:solidFill>
          </w14:textFill>
        </w:rPr>
        <w:t>4.7  关于分期付款的过渡期特别安排</w:t>
      </w:r>
    </w:p>
    <w:p w14:paraId="47E8694D">
      <w:pPr>
        <w:spacing w:line="560" w:lineRule="exact"/>
        <w:ind w:firstLine="562"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lang w:val="en-US" w:eastAsia="zh-CN"/>
          <w14:textFill>
            <w14:solidFill>
              <w14:schemeClr w14:val="tx1"/>
            </w14:solidFill>
          </w14:textFill>
        </w:rPr>
        <w:t>乙方采取分期付款的，若在过渡期内实现债权回现的，甲方在第一时间将回现金额归集到甲方账户内，做标的债权的债务偿还准备以及相关台账管理。待乙方拟履行分期义务完成时，甲方将过渡期期间收到的回现金额按本协议2.5条处理。过渡期期间甲方继续负责对标的债权的日常管理及维护，可不再主动处置，如涉及必要诉讼、执行、保全程序，相关费用由乙方承担。】</w:t>
      </w:r>
    </w:p>
    <w:p w14:paraId="74A79A2C">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14:paraId="744CD24C">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第五条  标的债权的交割</w:t>
      </w:r>
    </w:p>
    <w:p w14:paraId="40C169D7">
      <w:pPr>
        <w:pStyle w:val="28"/>
        <w:spacing w:before="0" w:after="0" w:line="560" w:lineRule="exact"/>
        <w:ind w:right="420" w:rightChars="200" w:firstLine="621" w:firstLineChars="221"/>
        <w:jc w:val="both"/>
        <w:rPr>
          <w:rFonts w:hint="eastAsia" w:asciiTheme="minorEastAsia" w:hAnsiTheme="minorEastAsia"/>
          <w:b/>
          <w:color w:val="000000" w:themeColor="text1"/>
          <w:sz w:val="28"/>
          <w:szCs w:val="28"/>
          <w14:textFill>
            <w14:solidFill>
              <w14:schemeClr w14:val="tx1"/>
            </w14:solidFill>
          </w14:textFill>
        </w:rPr>
      </w:pPr>
      <w:bookmarkStart w:id="18" w:name="_Toc215480523"/>
      <w:r>
        <w:rPr>
          <w:rFonts w:asciiTheme="minorEastAsia" w:hAnsiTheme="minorEastAsia"/>
          <w:b/>
          <w:color w:val="000000" w:themeColor="text1"/>
          <w:kern w:val="2"/>
          <w:sz w:val="28"/>
          <w:szCs w:val="28"/>
          <w14:textFill>
            <w14:solidFill>
              <w14:schemeClr w14:val="tx1"/>
            </w14:solidFill>
          </w14:textFill>
        </w:rPr>
        <w:t>5.1</w:t>
      </w:r>
      <w:r>
        <w:rPr>
          <w:rFonts w:hint="eastAsia" w:asciiTheme="minorEastAsia" w:hAnsiTheme="minorEastAsia"/>
          <w:b/>
          <w:color w:val="000000" w:themeColor="text1"/>
          <w:kern w:val="2"/>
          <w:sz w:val="28"/>
          <w:szCs w:val="28"/>
          <w14:textFill>
            <w14:solidFill>
              <w14:schemeClr w14:val="tx1"/>
            </w14:solidFill>
          </w14:textFill>
        </w:rPr>
        <w:t xml:space="preserve"> </w:t>
      </w:r>
      <w:r>
        <w:rPr>
          <w:rFonts w:hint="eastAsia" w:asciiTheme="minorEastAsia" w:hAnsiTheme="minorEastAsia"/>
          <w:b/>
          <w:color w:val="000000" w:themeColor="text1"/>
          <w:kern w:val="2"/>
          <w:sz w:val="28"/>
          <w:szCs w:val="28"/>
          <w:lang w:val="en-US" w:eastAsia="zh-CN"/>
          <w14:textFill>
            <w14:solidFill>
              <w14:schemeClr w14:val="tx1"/>
            </w14:solidFill>
          </w14:textFill>
        </w:rPr>
        <w:t xml:space="preserve"> </w:t>
      </w:r>
      <w:r>
        <w:rPr>
          <w:rFonts w:hint="eastAsia" w:asciiTheme="minorEastAsia" w:hAnsiTheme="minorEastAsia"/>
          <w:b/>
          <w:color w:val="000000" w:themeColor="text1"/>
          <w:kern w:val="2"/>
          <w:sz w:val="28"/>
          <w:szCs w:val="28"/>
          <w14:textFill>
            <w14:solidFill>
              <w14:schemeClr w14:val="tx1"/>
            </w14:solidFill>
          </w14:textFill>
        </w:rPr>
        <w:t>交割</w:t>
      </w:r>
      <w:bookmarkEnd w:id="18"/>
    </w:p>
    <w:p w14:paraId="1A024D76">
      <w:pPr>
        <w:pStyle w:val="28"/>
        <w:tabs>
          <w:tab w:val="left" w:pos="7980"/>
          <w:tab w:val="left" w:pos="8200"/>
        </w:tabs>
        <w:spacing w:before="0" w:after="0" w:line="560" w:lineRule="exact"/>
        <w:ind w:right="-92" w:rightChars="-44" w:firstLine="478" w:firstLineChars="171"/>
        <w:jc w:val="both"/>
        <w:rPr>
          <w:rFonts w:hint="eastAsia"/>
          <w:color w:val="000000" w:themeColor="text1"/>
          <w14:textFill>
            <w14:solidFill>
              <w14:schemeClr w14:val="tx1"/>
            </w14:solidFill>
          </w14:textFill>
        </w:rPr>
      </w:pPr>
      <w:r>
        <w:rPr>
          <w:rFonts w:hint="eastAsia" w:asciiTheme="minorEastAsia" w:hAnsiTheme="minorEastAsia"/>
          <w:color w:val="000000" w:themeColor="text1"/>
          <w:kern w:val="2"/>
          <w:sz w:val="28"/>
          <w:szCs w:val="28"/>
          <w14:textFill>
            <w14:solidFill>
              <w14:schemeClr w14:val="tx1"/>
            </w14:solidFill>
          </w14:textFill>
        </w:rPr>
        <w:t>本协议所称标的债权交割，是指在根据本协议约定的地点和时间，各方交割标的债权的有关债权文件。债权文件交割完毕即为交割完成。</w:t>
      </w:r>
    </w:p>
    <w:p w14:paraId="02E9AD1B">
      <w:pPr>
        <w:tabs>
          <w:tab w:val="left" w:pos="7980"/>
          <w:tab w:val="left" w:pos="8200"/>
        </w:tabs>
        <w:spacing w:line="560" w:lineRule="exact"/>
        <w:ind w:right="-92" w:rightChars="-44"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5.2</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交割的前提条件</w:t>
      </w:r>
    </w:p>
    <w:p w14:paraId="38255E8A">
      <w:pPr>
        <w:pStyle w:val="28"/>
        <w:tabs>
          <w:tab w:val="left" w:pos="7980"/>
          <w:tab w:val="left" w:pos="8200"/>
        </w:tabs>
        <w:spacing w:before="0" w:after="0" w:line="560" w:lineRule="exact"/>
        <w:ind w:right="-92" w:rightChars="-44" w:firstLine="478" w:firstLineChars="171"/>
        <w:jc w:val="both"/>
        <w:rPr>
          <w:rFonts w:hint="eastAsia" w:asciiTheme="minorEastAsia" w:hAnsiTheme="minorEastAsia"/>
          <w:color w:val="000000" w:themeColor="text1"/>
          <w:kern w:val="2"/>
          <w:sz w:val="28"/>
          <w:szCs w:val="28"/>
          <w14:textFill>
            <w14:solidFill>
              <w14:schemeClr w14:val="tx1"/>
            </w14:solidFill>
          </w14:textFill>
        </w:rPr>
      </w:pPr>
      <w:r>
        <w:rPr>
          <w:rFonts w:hint="eastAsia" w:asciiTheme="minorEastAsia" w:hAnsiTheme="minorEastAsia"/>
          <w:color w:val="000000" w:themeColor="text1"/>
          <w:kern w:val="2"/>
          <w:sz w:val="28"/>
          <w:szCs w:val="28"/>
          <w14:textFill>
            <w14:solidFill>
              <w14:schemeClr w14:val="tx1"/>
            </w14:solidFill>
          </w14:textFill>
        </w:rPr>
        <w:t>甲方和乙方的交割必须以下列条件已获得满足为前提：</w:t>
      </w:r>
    </w:p>
    <w:p w14:paraId="4C4E720B">
      <w:pPr>
        <w:pStyle w:val="28"/>
        <w:tabs>
          <w:tab w:val="left" w:pos="7980"/>
          <w:tab w:val="left" w:pos="8200"/>
        </w:tabs>
        <w:spacing w:before="0" w:after="0" w:line="560" w:lineRule="exact"/>
        <w:ind w:right="-92" w:rightChars="-44" w:firstLine="560" w:firstLineChars="200"/>
        <w:jc w:val="both"/>
        <w:rPr>
          <w:rFonts w:hint="eastAsia"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（1）甲方和乙方已在所有重要方面履行并遵守其各自在本协议项下的交割前应履行的全部承诺和保证；</w:t>
      </w:r>
    </w:p>
    <w:p w14:paraId="267EECD4">
      <w:pPr>
        <w:pStyle w:val="28"/>
        <w:tabs>
          <w:tab w:val="left" w:pos="7980"/>
          <w:tab w:val="left" w:pos="8200"/>
        </w:tabs>
        <w:spacing w:before="0" w:after="0" w:line="560" w:lineRule="exact"/>
        <w:ind w:right="-92" w:rightChars="-44" w:firstLine="560"/>
        <w:jc w:val="both"/>
        <w:rPr>
          <w:rFonts w:hint="eastAsia"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（2）乙方已按照本协议的约定按期足额支付了相应的转让价款。</w:t>
      </w:r>
    </w:p>
    <w:p w14:paraId="49FF95E1">
      <w:pPr>
        <w:pStyle w:val="5"/>
      </w:pPr>
    </w:p>
    <w:p w14:paraId="4294061A">
      <w:pPr>
        <w:pStyle w:val="2"/>
        <w:keepNext w:val="0"/>
        <w:keepLines w:val="0"/>
        <w:widowControl w:val="0"/>
        <w:numPr>
          <w:ilvl w:val="1"/>
          <w:numId w:val="0"/>
        </w:numPr>
        <w:spacing w:after="0" w:line="560" w:lineRule="exact"/>
        <w:ind w:firstLine="562"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lang w:eastAsia="zh-CN"/>
          <w14:textFill>
            <w14:solidFill>
              <w14:schemeClr w14:val="tx1"/>
            </w14:solidFill>
          </w14:textFill>
        </w:rPr>
        <w:t>5.3</w:t>
      </w: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交</w:t>
      </w:r>
      <w:r>
        <w:rPr>
          <w:rFonts w:hint="eastAsia" w:asciiTheme="minorEastAsia" w:hAnsiTheme="minorEastAsia" w:eastAsiaTheme="minorEastAsia"/>
          <w:color w:val="000000" w:themeColor="text1"/>
          <w:sz w:val="28"/>
          <w:szCs w:val="28"/>
          <w:lang w:eastAsia="zh-CN"/>
          <w14:textFill>
            <w14:solidFill>
              <w14:schemeClr w14:val="tx1"/>
            </w14:solidFill>
          </w14:textFill>
        </w:rPr>
        <w:t>割</w:t>
      </w:r>
      <w:r>
        <w:rPr>
          <w:rFonts w:hint="eastAsia" w:asciiTheme="minorEastAsia" w:hAnsiTheme="minorEastAsia" w:eastAsiaTheme="minorEastAsia"/>
          <w:color w:val="000000" w:themeColor="text1"/>
          <w:sz w:val="28"/>
          <w:szCs w:val="28"/>
          <w:highlight w:val="none"/>
          <w14:textFill>
            <w14:solidFill>
              <w14:schemeClr w14:val="tx1"/>
            </w14:solidFill>
          </w14:textFill>
        </w:rPr>
        <w:t>时间</w:t>
      </w:r>
    </w:p>
    <w:p w14:paraId="3A7F23D7">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5.3.1 </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各方应自</w:t>
      </w:r>
      <w:r>
        <w:rPr>
          <w:rFonts w:hint="eastAsia"/>
          <w:color w:val="000000" w:themeColor="text1"/>
          <w:sz w:val="28"/>
          <w:szCs w:val="28"/>
          <w:highlight w:val="none"/>
          <w14:textFill>
            <w14:solidFill>
              <w14:schemeClr w14:val="tx1"/>
            </w14:solidFill>
          </w14:textFill>
        </w:rPr>
        <w:t>乙方支付全部债权转让价款完毕</w:t>
      </w:r>
      <w:r>
        <w:rPr>
          <w:rFonts w:hint="eastAsia" w:asciiTheme="minorEastAsia" w:hAnsiTheme="minorEastAsia" w:eastAsiaTheme="minorEastAsia"/>
          <w:color w:val="000000" w:themeColor="text1"/>
          <w:sz w:val="28"/>
          <w:szCs w:val="28"/>
          <w:highlight w:val="none"/>
          <w14:textFill>
            <w14:solidFill>
              <w14:schemeClr w14:val="tx1"/>
            </w14:solidFill>
          </w14:textFill>
        </w:rPr>
        <w:t>之日起的</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60个工作</w:t>
      </w:r>
      <w:r>
        <w:rPr>
          <w:rFonts w:hint="eastAsia" w:asciiTheme="minorEastAsia" w:hAnsiTheme="minorEastAsia" w:eastAsiaTheme="minorEastAsia"/>
          <w:color w:val="000000" w:themeColor="text1"/>
          <w:sz w:val="28"/>
          <w:szCs w:val="28"/>
          <w:highlight w:val="none"/>
          <w14:textFill>
            <w14:solidFill>
              <w14:schemeClr w14:val="tx1"/>
            </w14:solidFill>
          </w14:textFill>
        </w:rPr>
        <w:t>日内完成债权文件的交割工作。</w:t>
      </w:r>
    </w:p>
    <w:p w14:paraId="69774A81">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5.3.2</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乙方应当事先向甲方提交负责接收标的债权的乙方指定人员的身份证明和加盖公</w:t>
      </w:r>
      <w:r>
        <w:rPr>
          <w:rFonts w:hint="eastAsia" w:asciiTheme="minorEastAsia" w:hAnsiTheme="minorEastAsia" w:eastAsiaTheme="minorEastAsia"/>
          <w:color w:val="000000" w:themeColor="text1"/>
          <w:sz w:val="28"/>
          <w:szCs w:val="28"/>
          <w14:textFill>
            <w14:solidFill>
              <w14:schemeClr w14:val="tx1"/>
            </w14:solidFill>
          </w14:textFill>
        </w:rPr>
        <w:t>章的授权委托书，经甲方审核同意后在各方协商一致的时间进行交割，但该时间最晚不得迟于第5.3.1条约定的期限。如因乙方延迟提交上述文件或者不配合导致交割工作延迟完成的，相关损失和责任由乙方自负。</w:t>
      </w:r>
    </w:p>
    <w:p w14:paraId="6CEF7B9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5.4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根据第5.3条确定的交割时间，甲方按照本协议约定向乙方移交相关债权文件。乙方指定人员在甲方人员的带领下，在甲方指定地点共同核对并交割债权文件。债权文件的交割完成以各方授权代表签署完毕有关债权文件的书面交接文件的时间为准，各方签署的书面交接文件应载明债权文件移交的时间、地点、甲方移交的文件之名称和数量。</w:t>
      </w:r>
    </w:p>
    <w:p w14:paraId="443197E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5.5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如因乙方的原因未能在第</w:t>
      </w:r>
      <w:r>
        <w:rPr>
          <w:rFonts w:asciiTheme="minorEastAsia" w:hAnsiTheme="minorEastAsia" w:eastAsiaTheme="minorEastAsia"/>
          <w:color w:val="000000" w:themeColor="text1"/>
          <w:sz w:val="28"/>
          <w:szCs w:val="28"/>
          <w14:textFill>
            <w14:solidFill>
              <w14:schemeClr w14:val="tx1"/>
            </w14:solidFill>
          </w14:textFill>
        </w:rPr>
        <w:t>5.3条约定的期限内完成交割的，则第5.3条约定的最后一日即视为交割</w:t>
      </w:r>
      <w:r>
        <w:rPr>
          <w:rFonts w:hint="eastAsia" w:asciiTheme="minorEastAsia" w:hAnsiTheme="minorEastAsia" w:eastAsiaTheme="minorEastAsia"/>
          <w:color w:val="000000" w:themeColor="text1"/>
          <w:sz w:val="28"/>
          <w:szCs w:val="28"/>
          <w14:textFill>
            <w14:solidFill>
              <w14:schemeClr w14:val="tx1"/>
            </w14:solidFill>
          </w14:textFill>
        </w:rPr>
        <w:t>完毕；交割完毕之后，甲方可选择将债权文件资料公证提存，或向乙方收取相当于转让价款的每日万分之五作为保管费，并且乙方自行承担未按时接受债权文件而发生的一切风险及损失。</w:t>
      </w:r>
    </w:p>
    <w:p w14:paraId="47CB577C">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5.6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各方同意，甲方向乙方交割的债权文件仅限于甲方自原债权人取得的及甲方在对标的债权管理和处置过程中所获得或持有的与标的债权有关的法律文件（甲方不保证持有该等文件的原件），但不包括下列文件：</w:t>
      </w:r>
    </w:p>
    <w:p w14:paraId="30A4E2C0">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（1）原债权人或甲方对标的债权进行管理的内部文件，包括但不限于请示、报告、批示、计划、安排、会议纪要、股东会决议、董事会决议、内部协议等；</w:t>
      </w:r>
    </w:p>
    <w:p w14:paraId="7C55E6DA">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（2）原债权人或甲方委托律师事务所或其他中介机构出具的与标的债权有关的法律或评估文件，包括但不限于委托代理协议、债权评估、分析报告、法律意见书、法律建议书等；</w:t>
      </w:r>
    </w:p>
    <w:p w14:paraId="3E0B43A8">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（3）原债权人或甲方在乙方付清标的债权转让价款之日前为处置标的债权已经移交或者应当移交给第三人或者应当注销的债权文件；</w:t>
      </w:r>
    </w:p>
    <w:p w14:paraId="0F2497D9">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如甲方在向乙方转让标的债权后，甲方仍然保有的权利所涉及的文件与本标的债权所涉及的文件系同一份文件或存在关联程度相当紧密的情况下，甲方有权继续保留该等文件的所有权，但乙方在其处置标的债权的目的范围内对该等文件享有使用权，乙方可以通过向甲方借用的方式使用该等文件。</w:t>
      </w:r>
    </w:p>
    <w:p w14:paraId="7A7234BE">
      <w:pPr>
        <w:spacing w:line="520" w:lineRule="exact"/>
        <w:ind w:firstLine="560" w:firstLineChars="200"/>
        <w:rPr>
          <w:rFonts w:hint="eastAsia" w:asciiTheme="minorEastAsia" w:hAnsiTheme="minorEastAsia"/>
          <w:color w:val="000000" w:themeColor="text1"/>
          <w:sz w:val="28"/>
          <w:szCs w:val="28"/>
          <w14:textFill>
            <w14:solidFill>
              <w14:schemeClr w14:val="tx1"/>
            </w14:solidFill>
          </w14:textFill>
        </w:rPr>
      </w:pPr>
      <w:r>
        <w:rPr>
          <w:rFonts w:asciiTheme="minorEastAsia" w:hAnsiTheme="minorEastAsia"/>
          <w:color w:val="000000" w:themeColor="text1"/>
          <w:sz w:val="28"/>
          <w:szCs w:val="28"/>
          <w14:textFill>
            <w14:solidFill>
              <w14:schemeClr w14:val="tx1"/>
            </w14:solidFill>
          </w14:textFill>
        </w:rPr>
        <w:t>5.</w:t>
      </w:r>
      <w:r>
        <w:rPr>
          <w:rFonts w:hint="eastAsia" w:asciiTheme="minorEastAsia" w:hAnsiTheme="minorEastAsia"/>
          <w:color w:val="000000" w:themeColor="text1"/>
          <w:sz w:val="28"/>
          <w:szCs w:val="28"/>
          <w14:textFill>
            <w14:solidFill>
              <w14:schemeClr w14:val="tx1"/>
            </w14:solidFill>
          </w14:textFill>
        </w:rPr>
        <w:t>7</w:t>
      </w:r>
      <w:r>
        <w:rPr>
          <w:rFonts w:hint="eastAsia" w:asciiTheme="minorEastAsia" w:hAnsi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color w:val="000000" w:themeColor="text1"/>
          <w:sz w:val="28"/>
          <w:szCs w:val="28"/>
          <w14:textFill>
            <w14:solidFill>
              <w14:schemeClr w14:val="tx1"/>
            </w14:solidFill>
          </w14:textFill>
        </w:rPr>
        <w:t xml:space="preserve"> 乙方同意，交割完成后，甲方及甲方聘用的中介机构因工作需要到乙方抽查及审阅甲方移交给乙方的档案资料的，乙方应当积极配合安排。</w:t>
      </w:r>
    </w:p>
    <w:p w14:paraId="23B51BF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14:paraId="4CF46D58">
      <w:pPr>
        <w:pStyle w:val="28"/>
        <w:spacing w:before="0" w:after="0" w:line="560" w:lineRule="exact"/>
        <w:ind w:left="0" w:leftChars="0" w:firstLine="562" w:firstLineChars="200"/>
        <w:jc w:val="both"/>
        <w:outlineLvl w:val="0"/>
        <w:rPr>
          <w:rFonts w:hint="eastAsia" w:asciiTheme="minorEastAsia" w:hAnsiTheme="minorEastAsia"/>
          <w:b/>
          <w:bCs/>
          <w:color w:val="000000" w:themeColor="text1"/>
          <w:sz w:val="28"/>
          <w:szCs w:val="28"/>
          <w14:textFill>
            <w14:solidFill>
              <w14:schemeClr w14:val="tx1"/>
            </w14:solidFill>
          </w14:textFill>
        </w:rPr>
      </w:pPr>
      <w:bookmarkStart w:id="19" w:name="_Toc215479816"/>
      <w:bookmarkEnd w:id="19"/>
      <w:bookmarkStart w:id="20" w:name="_Toc215479877"/>
      <w:bookmarkEnd w:id="20"/>
      <w:r>
        <w:rPr>
          <w:rFonts w:hint="eastAsia" w:asciiTheme="minorEastAsia" w:hAnsiTheme="minorEastAsia"/>
          <w:b/>
          <w:bCs/>
          <w:color w:val="000000" w:themeColor="text1"/>
          <w:sz w:val="28"/>
          <w:szCs w:val="28"/>
          <w14:textFill>
            <w14:solidFill>
              <w14:schemeClr w14:val="tx1"/>
            </w14:solidFill>
          </w14:textFill>
        </w:rPr>
        <w:t>第六条  转让后的合作</w:t>
      </w:r>
    </w:p>
    <w:p w14:paraId="204A5768">
      <w:pPr>
        <w:pStyle w:val="28"/>
        <w:spacing w:before="0" w:after="0" w:line="560" w:lineRule="exact"/>
        <w:ind w:left="-2" w:firstLine="562"/>
        <w:jc w:val="both"/>
        <w:outlineLvl w:val="1"/>
        <w:rPr>
          <w:rFonts w:hint="eastAsia"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 xml:space="preserve">6.1 </w:t>
      </w:r>
      <w:r>
        <w:rPr>
          <w:rFonts w:hint="eastAsia" w:asciiTheme="minorEastAsia" w:hAnsiTheme="minorEastAsia"/>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b/>
          <w:bCs/>
          <w:color w:val="000000" w:themeColor="text1"/>
          <w:sz w:val="28"/>
          <w:szCs w:val="28"/>
          <w14:textFill>
            <w14:solidFill>
              <w14:schemeClr w14:val="tx1"/>
            </w14:solidFill>
          </w14:textFill>
        </w:rPr>
        <w:t>债权转让通知</w:t>
      </w:r>
    </w:p>
    <w:p w14:paraId="31F27CB3">
      <w:pPr>
        <w:adjustRightInd w:val="0"/>
        <w:snapToGrid w:val="0"/>
        <w:spacing w:line="560" w:lineRule="exact"/>
        <w:ind w:firstLine="560" w:firstLineChars="200"/>
        <w:rPr>
          <w:color w:val="000000" w:themeColor="text1"/>
          <w:sz w:val="28"/>
          <w:szCs w:val="28"/>
          <w:highlight w:val="none"/>
          <w14:textFill>
            <w14:solidFill>
              <w14:schemeClr w14:val="tx1"/>
            </w14:solidFill>
          </w14:textFill>
        </w:rPr>
      </w:pPr>
      <w:r>
        <w:rPr>
          <w:rFonts w:asciiTheme="minorEastAsia" w:hAnsiTheme="minorEastAsia" w:eastAsiaTheme="minorEastAsia"/>
          <w:snapToGrid w:val="0"/>
          <w:color w:val="000000" w:themeColor="text1"/>
          <w:kern w:val="28"/>
          <w:sz w:val="28"/>
          <w:szCs w:val="28"/>
          <w14:textFill>
            <w14:solidFill>
              <w14:schemeClr w14:val="tx1"/>
            </w14:solidFill>
          </w14:textFill>
        </w:rPr>
        <w:t>6.1.1</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 xml:space="preserve">  </w:t>
      </w:r>
      <w:r>
        <w:rPr>
          <w:color w:val="000000" w:themeColor="text1"/>
          <w:sz w:val="28"/>
          <w:szCs w:val="28"/>
          <w14:textFill>
            <w14:solidFill>
              <w14:schemeClr w14:val="tx1"/>
            </w14:solidFill>
          </w14:textFill>
        </w:rPr>
        <w:t>自</w:t>
      </w:r>
      <w:r>
        <w:rPr>
          <w:rFonts w:hint="eastAsia"/>
          <w:color w:val="000000" w:themeColor="text1"/>
          <w:sz w:val="28"/>
          <w:szCs w:val="28"/>
          <w14:textFill>
            <w14:solidFill>
              <w14:schemeClr w14:val="tx1"/>
            </w14:solidFill>
          </w14:textFill>
        </w:rPr>
        <w:t>乙方支付</w:t>
      </w:r>
      <w:r>
        <w:rPr>
          <w:rFonts w:hint="eastAsia"/>
          <w:color w:val="000000" w:themeColor="text1"/>
          <w:sz w:val="28"/>
          <w:szCs w:val="28"/>
          <w:highlight w:val="none"/>
          <w14:textFill>
            <w14:solidFill>
              <w14:schemeClr w14:val="tx1"/>
            </w14:solidFill>
          </w14:textFill>
        </w:rPr>
        <w:t>全部债权转让价款完毕</w:t>
      </w:r>
      <w:r>
        <w:rPr>
          <w:color w:val="000000" w:themeColor="text1"/>
          <w:sz w:val="28"/>
          <w:szCs w:val="28"/>
          <w:highlight w:val="none"/>
          <w14:textFill>
            <w14:solidFill>
              <w14:schemeClr w14:val="tx1"/>
            </w14:solidFill>
          </w14:textFill>
        </w:rPr>
        <w:t>起的</w:t>
      </w:r>
      <w:r>
        <w:rPr>
          <w:rFonts w:hint="default"/>
          <w:color w:val="000000" w:themeColor="text1"/>
          <w:sz w:val="28"/>
          <w:szCs w:val="28"/>
          <w:highlight w:val="none"/>
          <w:lang w:val="en-US"/>
          <w14:textFill>
            <w14:solidFill>
              <w14:schemeClr w14:val="tx1"/>
            </w14:solidFill>
          </w14:textFill>
        </w:rPr>
        <w:t>15</w:t>
      </w:r>
      <w:r>
        <w:rPr>
          <w:rFonts w:hint="eastAsia"/>
          <w:color w:val="000000" w:themeColor="text1"/>
          <w:sz w:val="28"/>
          <w:szCs w:val="28"/>
          <w:highlight w:val="none"/>
          <w:lang w:val="en-US" w:eastAsia="zh-CN"/>
          <w14:textFill>
            <w14:solidFill>
              <w14:schemeClr w14:val="tx1"/>
            </w14:solidFill>
          </w14:textFill>
        </w:rPr>
        <w:t>个工作</w:t>
      </w:r>
      <w:r>
        <w:rPr>
          <w:rFonts w:hint="eastAsia"/>
          <w:color w:val="000000" w:themeColor="text1"/>
          <w:sz w:val="28"/>
          <w:szCs w:val="28"/>
          <w:highlight w:val="none"/>
          <w14:textFill>
            <w14:solidFill>
              <w14:schemeClr w14:val="tx1"/>
            </w14:solidFill>
          </w14:textFill>
        </w:rPr>
        <w:t>日</w:t>
      </w:r>
      <w:r>
        <w:rPr>
          <w:color w:val="000000" w:themeColor="text1"/>
          <w:sz w:val="28"/>
          <w:szCs w:val="28"/>
          <w:highlight w:val="none"/>
          <w14:textFill>
            <w14:solidFill>
              <w14:schemeClr w14:val="tx1"/>
            </w14:solidFill>
          </w14:textFill>
        </w:rPr>
        <w:t>内，</w:t>
      </w:r>
      <w:r>
        <w:rPr>
          <w:rFonts w:hint="eastAsia"/>
          <w:color w:val="000000" w:themeColor="text1"/>
          <w:sz w:val="28"/>
          <w:szCs w:val="28"/>
          <w:highlight w:val="none"/>
          <w14:textFill>
            <w14:solidFill>
              <w14:schemeClr w14:val="tx1"/>
            </w14:solidFill>
          </w14:textFill>
        </w:rPr>
        <w:t>就标的债权转让的事实，按照如下方式通知义务人：采用直接送达、邮寄送达或公证送达方式将本协议涉及的债权转让暨债</w:t>
      </w:r>
      <w:r>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t>务催收的事实告知债务人及担保人</w:t>
      </w:r>
      <w:r>
        <w:rPr>
          <w:rFonts w:hint="eastAsia" w:asciiTheme="minorEastAsia" w:hAnsiTheme="minorEastAsia" w:eastAsiaTheme="minorEastAsia"/>
          <w:snapToGrid w:val="0"/>
          <w:color w:val="000000" w:themeColor="text1"/>
          <w:kern w:val="28"/>
          <w:sz w:val="28"/>
          <w:szCs w:val="28"/>
          <w:highlight w:val="none"/>
          <w:lang w:eastAsia="zh-CN"/>
          <w14:textFill>
            <w14:solidFill>
              <w14:schemeClr w14:val="tx1"/>
            </w14:solidFill>
          </w14:textFill>
        </w:rPr>
        <w:t>，</w:t>
      </w:r>
      <w:r>
        <w:rPr>
          <w:rFonts w:hint="eastAsia" w:asciiTheme="minorEastAsia" w:hAnsiTheme="minorEastAsia" w:eastAsiaTheme="minorEastAsia"/>
          <w:snapToGrid w:val="0"/>
          <w:color w:val="000000" w:themeColor="text1"/>
          <w:kern w:val="28"/>
          <w:sz w:val="28"/>
          <w:szCs w:val="28"/>
          <w:highlight w:val="none"/>
          <w:lang w:val="en-US" w:eastAsia="zh-CN"/>
          <w14:textFill>
            <w14:solidFill>
              <w14:schemeClr w14:val="tx1"/>
            </w14:solidFill>
          </w14:textFill>
        </w:rPr>
        <w:t>同时双方以登报形式在省级报纸上联合发布债权转让公告，费用由甲方承担</w:t>
      </w:r>
      <w:r>
        <w:rPr>
          <w:rFonts w:hint="eastAsia"/>
          <w:color w:val="000000" w:themeColor="text1"/>
          <w:sz w:val="28"/>
          <w:szCs w:val="28"/>
          <w:highlight w:val="none"/>
          <w14:textFill>
            <w14:solidFill>
              <w14:schemeClr w14:val="tx1"/>
            </w14:solidFill>
          </w14:textFill>
        </w:rPr>
        <w:t>。(债权转让与催收通知及回执见附件二)</w:t>
      </w:r>
    </w:p>
    <w:p w14:paraId="6B8C8D4E">
      <w:pPr>
        <w:pStyle w:val="29"/>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6.</w:t>
      </w:r>
      <w:r>
        <w:rPr>
          <w:rFonts w:hint="eastAsia" w:asciiTheme="minorEastAsia" w:hAnsiTheme="minorEastAsia" w:eastAsiaTheme="minorEastAsia"/>
          <w:color w:val="000000" w:themeColor="text1"/>
          <w:sz w:val="28"/>
          <w:szCs w:val="28"/>
          <w:highlight w:val="none"/>
          <w14:textFill>
            <w14:solidFill>
              <w14:schemeClr w14:val="tx1"/>
            </w14:solidFill>
          </w14:textFill>
        </w:rPr>
        <w:t>1</w:t>
      </w:r>
      <w:r>
        <w:rPr>
          <w:rFonts w:asciiTheme="minorEastAsia" w:hAnsiTheme="minorEastAsia" w:eastAsiaTheme="minorEastAsia"/>
          <w:color w:val="000000" w:themeColor="text1"/>
          <w:sz w:val="28"/>
          <w:szCs w:val="28"/>
          <w:highlight w:val="none"/>
          <w14:textFill>
            <w14:solidFill>
              <w14:schemeClr w14:val="tx1"/>
            </w14:solidFill>
          </w14:textFill>
        </w:rPr>
        <w:t>.2</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上述送达工作由乙方负责、甲方予以配合。</w:t>
      </w:r>
    </w:p>
    <w:p w14:paraId="3321E45E">
      <w:pPr>
        <w:pStyle w:val="29"/>
        <w:widowControl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6.1</w:t>
      </w:r>
      <w:r>
        <w:rPr>
          <w:rFonts w:asciiTheme="minorEastAsia" w:hAnsiTheme="minorEastAsia" w:eastAsiaTheme="minorEastAsia"/>
          <w:color w:val="000000" w:themeColor="text1"/>
          <w:sz w:val="28"/>
          <w:szCs w:val="28"/>
          <w:highlight w:val="none"/>
          <w14:textFill>
            <w14:solidFill>
              <w14:schemeClr w14:val="tx1"/>
            </w14:solidFill>
          </w14:textFill>
        </w:rPr>
        <w:t>.3</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乙方确认，甲方只需进行以上形式的通知，无论案件受理法院是否确认债权转让通知的法</w:t>
      </w:r>
      <w:r>
        <w:rPr>
          <w:rFonts w:hint="eastAsia" w:asciiTheme="minorEastAsia" w:hAnsiTheme="minorEastAsia" w:eastAsiaTheme="minorEastAsia"/>
          <w:b/>
          <w:bCs/>
          <w:color w:val="000000" w:themeColor="text1"/>
          <w:sz w:val="28"/>
          <w:szCs w:val="28"/>
          <w14:textFill>
            <w14:solidFill>
              <w14:schemeClr w14:val="tx1"/>
            </w14:solidFill>
          </w14:textFill>
        </w:rPr>
        <w:t>律效力，均视为甲方已完成债权转让通知的义务，乙方不得对此提出任何抗辩。</w:t>
      </w:r>
    </w:p>
    <w:p w14:paraId="03E6881A">
      <w:pPr>
        <w:pStyle w:val="29"/>
        <w:widowControl w:val="0"/>
        <w:spacing w:line="560" w:lineRule="exact"/>
        <w:ind w:firstLine="560" w:firstLineChars="200"/>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6.1</w:t>
      </w:r>
      <w:r>
        <w:rPr>
          <w:rFonts w:asciiTheme="minorEastAsia" w:hAnsiTheme="minorEastAsia" w:eastAsiaTheme="minorEastAsia"/>
          <w:color w:val="000000" w:themeColor="text1"/>
          <w:sz w:val="28"/>
          <w:szCs w:val="28"/>
          <w14:textFill>
            <w14:solidFill>
              <w14:schemeClr w14:val="tx1"/>
            </w14:solidFill>
          </w14:textFill>
        </w:rPr>
        <w:t>.4</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乙方进一步确认，甲方的通知义务只限于进行上述适当的通知行为，无论债务人、担保人、其他义务人对债权转让的通知是否签收和确认，不影响各方之间就债权进行转让的效力。</w:t>
      </w:r>
    </w:p>
    <w:p w14:paraId="7ABBF703">
      <w:pPr>
        <w:pStyle w:val="29"/>
        <w:widowControl w:val="0"/>
        <w:spacing w:line="560" w:lineRule="exact"/>
        <w:ind w:firstLine="562" w:firstLineChars="200"/>
        <w:outlineLvl w:val="1"/>
        <w:rPr>
          <w:rFonts w:hint="eastAsia" w:cs="宋体" w:asciiTheme="minorEastAsia" w:hAnsiTheme="minorEastAsia" w:eastAsiaTheme="minorEastAsia"/>
          <w:b/>
          <w:bCs/>
          <w:snapToGrid/>
          <w:color w:val="000000" w:themeColor="text1"/>
          <w:kern w:val="0"/>
          <w:sz w:val="28"/>
          <w:szCs w:val="28"/>
          <w:highlight w:val="none"/>
          <w14:textFill>
            <w14:solidFill>
              <w14:schemeClr w14:val="tx1"/>
            </w14:solidFill>
          </w14:textFill>
        </w:rPr>
      </w:pPr>
      <w:r>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t>6</w:t>
      </w:r>
      <w:r>
        <w:rPr>
          <w:rFonts w:cs="宋体" w:asciiTheme="minorEastAsia" w:hAnsiTheme="minorEastAsia" w:eastAsiaTheme="minorEastAsia"/>
          <w:b/>
          <w:bCs/>
          <w:snapToGrid/>
          <w:color w:val="000000" w:themeColor="text1"/>
          <w:kern w:val="0"/>
          <w:sz w:val="28"/>
          <w:szCs w:val="28"/>
          <w14:textFill>
            <w14:solidFill>
              <w14:schemeClr w14:val="tx1"/>
            </w14:solidFill>
          </w14:textFill>
        </w:rPr>
        <w:t>.2</w:t>
      </w:r>
      <w:r>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t xml:space="preserve"> </w:t>
      </w:r>
      <w:r>
        <w:rPr>
          <w:rFonts w:hint="eastAsia" w:cs="宋体" w:asciiTheme="minorEastAsia" w:hAnsiTheme="minorEastAsia" w:eastAsiaTheme="minorEastAsia"/>
          <w:b/>
          <w:bCs/>
          <w:snapToGrid/>
          <w:color w:val="000000" w:themeColor="text1"/>
          <w:kern w:val="0"/>
          <w:sz w:val="28"/>
          <w:szCs w:val="28"/>
          <w:lang w:val="en-US" w:eastAsia="zh-CN"/>
          <w14:textFill>
            <w14:solidFill>
              <w14:schemeClr w14:val="tx1"/>
            </w14:solidFill>
          </w14:textFill>
        </w:rPr>
        <w:t xml:space="preserve"> </w:t>
      </w:r>
      <w:r>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t>主体及权属变更</w:t>
      </w:r>
    </w:p>
    <w:p w14:paraId="272D3060">
      <w:pPr>
        <w:pStyle w:val="29"/>
        <w:widowControl w:val="0"/>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6.2.1</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若标的债权需要变更诉讼主体、执行主体、标的债权权属或办理其他法律手续的，乙方负责于交割完毕之日起六个月内完成该等变更或其他手续；乙方就此要求甲方协助的，应在上述期限内向甲方提出；甲方将根据相关规定，予以积极配合并提供必要协助。尽管有上述规定，甲方不承担实现上述变更或完成手续的责任。</w:t>
      </w:r>
    </w:p>
    <w:p w14:paraId="64741E43">
      <w:pPr>
        <w:pStyle w:val="29"/>
        <w:widowControl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6</w:t>
      </w:r>
      <w:r>
        <w:rPr>
          <w:rFonts w:asciiTheme="minorEastAsia" w:hAnsiTheme="minorEastAsia" w:eastAsiaTheme="minorEastAsia"/>
          <w:color w:val="000000" w:themeColor="text1"/>
          <w:sz w:val="28"/>
          <w:szCs w:val="28"/>
          <w:highlight w:val="none"/>
          <w14:textFill>
            <w14:solidFill>
              <w14:schemeClr w14:val="tx1"/>
            </w14:solidFill>
          </w14:textFill>
        </w:rPr>
        <w:t>.2.2</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若因乙方原因未于第6</w:t>
      </w:r>
      <w:r>
        <w:rPr>
          <w:rFonts w:asciiTheme="minorEastAsia" w:hAnsiTheme="minorEastAsia" w:eastAsiaTheme="minorEastAsia"/>
          <w:b/>
          <w:bCs/>
          <w:color w:val="000000" w:themeColor="text1"/>
          <w:sz w:val="28"/>
          <w:szCs w:val="28"/>
          <w:highlight w:val="none"/>
          <w14:textFill>
            <w14:solidFill>
              <w14:schemeClr w14:val="tx1"/>
            </w14:solidFill>
          </w14:textFill>
        </w:rPr>
        <w:t>.2.1条</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约</w:t>
      </w:r>
      <w:r>
        <w:rPr>
          <w:rFonts w:hint="eastAsia" w:asciiTheme="minorEastAsia" w:hAnsiTheme="minorEastAsia" w:eastAsiaTheme="minorEastAsia"/>
          <w:b/>
          <w:bCs/>
          <w:color w:val="000000" w:themeColor="text1"/>
          <w:sz w:val="28"/>
          <w:szCs w:val="28"/>
          <w14:textFill>
            <w14:solidFill>
              <w14:schemeClr w14:val="tx1"/>
            </w14:solidFill>
          </w14:textFill>
        </w:rPr>
        <w:t>定的期限内完成该等变更或手续导致甲方继续被告知应参与相关诉讼程序的，甲方有权选择放弃参与相关诉讼程序。甲方放弃参与相关诉讼程序且因此影响乙方行使相关诉讼权利的，甲方不承担任何责任。</w:t>
      </w:r>
    </w:p>
    <w:p w14:paraId="21E81A1C">
      <w:pPr>
        <w:pStyle w:val="29"/>
        <w:widowControl w:val="0"/>
        <w:spacing w:line="560" w:lineRule="exact"/>
        <w:ind w:firstLine="560" w:firstLineChars="200"/>
        <w:rPr>
          <w:rFonts w:hint="eastAsia" w:asciiTheme="minorEastAsia" w:hAnsiTheme="minorEastAsia" w:eastAsiaTheme="minorEastAsia"/>
          <w:snapToGrid/>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若因不可抗力导致未于第6</w:t>
      </w:r>
      <w:r>
        <w:rPr>
          <w:rFonts w:asciiTheme="minorEastAsia" w:hAnsiTheme="minorEastAsia" w:eastAsiaTheme="minorEastAsia"/>
          <w:color w:val="000000" w:themeColor="text1"/>
          <w:sz w:val="28"/>
          <w:szCs w:val="28"/>
          <w14:textFill>
            <w14:solidFill>
              <w14:schemeClr w14:val="tx1"/>
            </w14:solidFill>
          </w14:textFill>
        </w:rPr>
        <w:t>.2.1条</w:t>
      </w:r>
      <w:r>
        <w:rPr>
          <w:rFonts w:hint="eastAsia" w:asciiTheme="minorEastAsia" w:hAnsiTheme="minorEastAsia" w:eastAsiaTheme="minorEastAsia"/>
          <w:color w:val="000000" w:themeColor="text1"/>
          <w:sz w:val="28"/>
          <w:szCs w:val="28"/>
          <w14:textFill>
            <w14:solidFill>
              <w14:schemeClr w14:val="tx1"/>
            </w14:solidFill>
          </w14:textFill>
        </w:rPr>
        <w:t>约定的期限内完成该等变更或手续导致甲方继续被告知应参与相关诉讼程序的，甲方继续配合乙方履行相关诉讼程序。</w:t>
      </w:r>
    </w:p>
    <w:p w14:paraId="3E8750B9">
      <w:pPr>
        <w:adjustRightInd w:val="0"/>
        <w:snapToGrid w:val="0"/>
        <w:spacing w:line="560" w:lineRule="exact"/>
        <w:ind w:firstLine="562" w:firstLineChars="200"/>
        <w:outlineLvl w:val="1"/>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6.3</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color w:val="000000" w:themeColor="text1"/>
          <w:sz w:val="28"/>
          <w:szCs w:val="28"/>
          <w14:textFill>
            <w14:solidFill>
              <w14:schemeClr w14:val="tx1"/>
            </w14:solidFill>
          </w14:textFill>
        </w:rPr>
        <w:t xml:space="preserve"> 其他</w:t>
      </w:r>
      <w:r>
        <w:rPr>
          <w:rFonts w:asciiTheme="minorEastAsia" w:hAnsiTheme="minorEastAsia" w:eastAsiaTheme="minorEastAsia"/>
          <w:b/>
          <w:color w:val="000000" w:themeColor="text1"/>
          <w:sz w:val="28"/>
          <w:szCs w:val="28"/>
          <w14:textFill>
            <w14:solidFill>
              <w14:schemeClr w14:val="tx1"/>
            </w14:solidFill>
          </w14:textFill>
        </w:rPr>
        <w:t>相关</w:t>
      </w:r>
      <w:r>
        <w:rPr>
          <w:rFonts w:hint="eastAsia" w:asciiTheme="minorEastAsia" w:hAnsiTheme="minorEastAsia" w:eastAsiaTheme="minorEastAsia"/>
          <w:b/>
          <w:color w:val="000000" w:themeColor="text1"/>
          <w:sz w:val="28"/>
          <w:szCs w:val="28"/>
          <w14:textFill>
            <w14:solidFill>
              <w14:schemeClr w14:val="tx1"/>
            </w14:solidFill>
          </w14:textFill>
        </w:rPr>
        <w:t>协议</w:t>
      </w:r>
      <w:r>
        <w:rPr>
          <w:rFonts w:asciiTheme="minorEastAsia" w:hAnsiTheme="minorEastAsia" w:eastAsiaTheme="minorEastAsia"/>
          <w:b/>
          <w:color w:val="000000" w:themeColor="text1"/>
          <w:sz w:val="28"/>
          <w:szCs w:val="28"/>
          <w14:textFill>
            <w14:solidFill>
              <w14:schemeClr w14:val="tx1"/>
            </w14:solidFill>
          </w14:textFill>
        </w:rPr>
        <w:t>权利义务的转移</w:t>
      </w:r>
    </w:p>
    <w:p w14:paraId="03A090EC">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 xml:space="preserve">6.3.1 </w:t>
      </w:r>
      <w:r>
        <w:rPr>
          <w:rFonts w:hint="eastAsia" w:asciiTheme="minorEastAsia" w:hAnsiTheme="minorEastAsia" w:eastAsiaTheme="minorEastAsia"/>
          <w:snapToGrid w:val="0"/>
          <w:color w:val="000000" w:themeColor="text1"/>
          <w:kern w:val="28"/>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乙方同意在受让标的债权后继续遵守和履行甲方及/或原债权人在标的债权转让前就标的债权而向债务人、担保人所作的承诺及/或与其他相关方达成的任何协议、处置方案或者其他任何对甲方及/或原债权人有约束力的文件，并且，乙方应自觉接受该等协议及/或文件对债权人赋予的权利和相应的约束，并愿意按照该协议及/或文件的约定行使债权人的权利和履行债权人的义务。如因乙方违反该等约定而引致第三方对甲方采取法律行动、或甲方须对第三方承担任何责任，则甲</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方有权要求乙方弥补甲方所受的一切损失。</w:t>
      </w:r>
    </w:p>
    <w:p w14:paraId="37000398">
      <w:pPr>
        <w:adjustRightInd w:val="0"/>
        <w:snapToGrid w:val="0"/>
        <w:spacing w:line="560" w:lineRule="exact"/>
        <w:ind w:firstLine="565" w:firstLineChars="202"/>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6</w:t>
      </w:r>
      <w:r>
        <w:rPr>
          <w:rFonts w:asciiTheme="minorEastAsia" w:hAnsiTheme="minorEastAsia" w:eastAsiaTheme="minorEastAsia"/>
          <w:color w:val="000000" w:themeColor="text1"/>
          <w:sz w:val="28"/>
          <w:szCs w:val="28"/>
          <w:highlight w:val="none"/>
          <w14:textFill>
            <w14:solidFill>
              <w14:schemeClr w14:val="tx1"/>
            </w14:solidFill>
          </w14:textFill>
        </w:rPr>
        <w:t>.3.2</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highlight w:val="none"/>
          <w:lang w:val="en-US" w:eastAsia="zh-CN"/>
          <w14:textFill>
            <w14:solidFill>
              <w14:schemeClr w14:val="tx1"/>
            </w14:solidFill>
          </w14:textFill>
        </w:rPr>
        <w:t xml:space="preserve"> </w:t>
      </w:r>
      <w:r>
        <w:rPr>
          <w:rFonts w:asciiTheme="minorEastAsia" w:hAnsiTheme="minorEastAsia" w:eastAsiaTheme="minorEastAsia"/>
          <w:b/>
          <w:bCs/>
          <w:color w:val="000000" w:themeColor="text1"/>
          <w:sz w:val="28"/>
          <w:szCs w:val="28"/>
          <w:highlight w:val="none"/>
          <w14:textFill>
            <w14:solidFill>
              <w14:schemeClr w14:val="tx1"/>
            </w14:solidFill>
          </w14:textFill>
        </w:rPr>
        <w:t>乙方同意</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，除各方另有约定外，</w:t>
      </w:r>
      <w:r>
        <w:rPr>
          <w:rFonts w:asciiTheme="minorEastAsia" w:hAnsiTheme="minorEastAsia" w:eastAsiaTheme="minorEastAsia"/>
          <w:b/>
          <w:bCs/>
          <w:color w:val="000000" w:themeColor="text1"/>
          <w:sz w:val="28"/>
          <w:szCs w:val="28"/>
          <w:highlight w:val="none"/>
          <w14:textFill>
            <w14:solidFill>
              <w14:schemeClr w14:val="tx1"/>
            </w14:solidFill>
          </w14:textFill>
        </w:rPr>
        <w:t>在受让标的债权后</w:t>
      </w:r>
      <w:r>
        <w:rPr>
          <w:rFonts w:hint="eastAsia" w:asciiTheme="minorEastAsia" w:hAnsiTheme="minorEastAsia" w:eastAsiaTheme="minorEastAsia"/>
          <w:b/>
          <w:bCs/>
          <w:color w:val="000000" w:themeColor="text1"/>
          <w:sz w:val="28"/>
          <w:szCs w:val="28"/>
          <w:highlight w:val="none"/>
          <w:lang w:val="en-US" w:eastAsia="zh-CN"/>
          <w14:textFill>
            <w14:solidFill>
              <w14:schemeClr w14:val="tx1"/>
            </w14:solidFill>
          </w14:textFill>
        </w:rPr>
        <w:t>不</w:t>
      </w:r>
      <w:r>
        <w:rPr>
          <w:rFonts w:asciiTheme="minorEastAsia" w:hAnsiTheme="minorEastAsia" w:eastAsiaTheme="minorEastAsia"/>
          <w:b/>
          <w:bCs/>
          <w:color w:val="000000" w:themeColor="text1"/>
          <w:sz w:val="28"/>
          <w:szCs w:val="28"/>
          <w:highlight w:val="none"/>
          <w14:textFill>
            <w14:solidFill>
              <w14:schemeClr w14:val="tx1"/>
            </w14:solidFill>
          </w14:textFill>
        </w:rPr>
        <w:t>继续遵守、履行和</w:t>
      </w:r>
      <w:r>
        <w:rPr>
          <w:rFonts w:hint="eastAsia" w:asciiTheme="minorEastAsia" w:hAnsiTheme="minorEastAsia" w:eastAsiaTheme="minorEastAsia"/>
          <w:b/>
          <w:bCs/>
          <w:color w:val="000000" w:themeColor="text1"/>
          <w:sz w:val="28"/>
          <w:szCs w:val="28"/>
          <w:highlight w:val="none"/>
          <w:lang w:val="en-US" w:eastAsia="zh-CN"/>
          <w14:textFill>
            <w14:solidFill>
              <w14:schemeClr w14:val="tx1"/>
            </w14:solidFill>
          </w14:textFill>
        </w:rPr>
        <w:t>不</w:t>
      </w:r>
      <w:r>
        <w:rPr>
          <w:rFonts w:asciiTheme="minorEastAsia" w:hAnsiTheme="minorEastAsia" w:eastAsiaTheme="minorEastAsia"/>
          <w:b/>
          <w:bCs/>
          <w:color w:val="000000" w:themeColor="text1"/>
          <w:sz w:val="28"/>
          <w:szCs w:val="28"/>
          <w:highlight w:val="none"/>
          <w14:textFill>
            <w14:solidFill>
              <w14:schemeClr w14:val="tx1"/>
            </w14:solidFill>
          </w14:textFill>
        </w:rPr>
        <w:t>承继甲方及/或原债权人在标的债权转让前</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与相关中介机构签署的服务协议等法律文件，</w:t>
      </w:r>
      <w:r>
        <w:rPr>
          <w:rFonts w:hint="eastAsia" w:asciiTheme="minorEastAsia" w:hAnsiTheme="minorEastAsia" w:eastAsiaTheme="minorEastAsia"/>
          <w:b/>
          <w:bCs/>
          <w:color w:val="000000" w:themeColor="text1"/>
          <w:sz w:val="28"/>
          <w:szCs w:val="28"/>
          <w:highlight w:val="none"/>
          <w:lang w:val="en-US" w:eastAsia="zh-CN"/>
          <w14:textFill>
            <w14:solidFill>
              <w14:schemeClr w14:val="tx1"/>
            </w14:solidFill>
          </w14:textFill>
        </w:rPr>
        <w:t>不</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承继该等服务协议项下的权利和义务并受到该等服务协议条款的约束。</w:t>
      </w:r>
    </w:p>
    <w:p w14:paraId="7EB3768B">
      <w:pPr>
        <w:adjustRightInd w:val="0"/>
        <w:snapToGrid w:val="0"/>
        <w:spacing w:line="560" w:lineRule="exact"/>
        <w:ind w:firstLine="565" w:firstLineChars="202"/>
        <w:rPr>
          <w:rFonts w:hint="eastAsia" w:asciiTheme="minorEastAsia" w:hAnsiTheme="minorEastAsia" w:eastAsiaTheme="minorEastAsia"/>
          <w:color w:val="000000" w:themeColor="text1"/>
          <w:sz w:val="28"/>
          <w:szCs w:val="28"/>
          <w:highlight w:val="none"/>
          <w14:textFill>
            <w14:solidFill>
              <w14:schemeClr w14:val="tx1"/>
            </w14:solidFill>
          </w14:textFill>
        </w:rPr>
      </w:pPr>
    </w:p>
    <w:p w14:paraId="1E186270">
      <w:pPr>
        <w:spacing w:line="560" w:lineRule="exact"/>
        <w:ind w:firstLine="480"/>
        <w:outlineLvl w:val="0"/>
        <w:rPr>
          <w:rFonts w:hint="eastAsia" w:asciiTheme="minorEastAsia" w:hAnsiTheme="minorEastAsia" w:eastAsiaTheme="minorEastAsia"/>
          <w:b/>
          <w:bCs/>
          <w:color w:val="000000" w:themeColor="text1"/>
          <w:kern w:val="0"/>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kern w:val="0"/>
          <w:sz w:val="28"/>
          <w:szCs w:val="28"/>
          <w:highlight w:val="none"/>
          <w14:textFill>
            <w14:solidFill>
              <w14:schemeClr w14:val="tx1"/>
            </w14:solidFill>
          </w14:textFill>
        </w:rPr>
        <w:t>第七条  风险提示及决策</w:t>
      </w:r>
    </w:p>
    <w:p w14:paraId="71E2D19E">
      <w:pPr>
        <w:spacing w:line="560" w:lineRule="exact"/>
        <w:ind w:firstLine="482"/>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7.1 </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b/>
          <w:color w:val="000000" w:themeColor="text1"/>
          <w:sz w:val="28"/>
          <w:szCs w:val="28"/>
          <w:highlight w:val="none"/>
          <w14:textFill>
            <w14:solidFill>
              <w14:schemeClr w14:val="tx1"/>
            </w14:solidFill>
          </w14:textFill>
        </w:rPr>
        <w:t>就标的债权转让事宜，甲方特向乙方作出如下风险提示；乙方对以下风险</w:t>
      </w:r>
      <w:r>
        <w:rPr>
          <w:rFonts w:hint="eastAsia" w:asciiTheme="minorEastAsia" w:hAnsiTheme="minorEastAsia" w:eastAsiaTheme="minorEastAsia"/>
          <w:b/>
          <w:color w:val="000000" w:themeColor="text1"/>
          <w:sz w:val="28"/>
          <w:szCs w:val="28"/>
          <w14:textFill>
            <w14:solidFill>
              <w14:schemeClr w14:val="tx1"/>
            </w14:solidFill>
          </w14:textFill>
        </w:rPr>
        <w:t>表示完全知晓并自愿承担由此可能发生的不利法律或其他后果。</w:t>
      </w:r>
    </w:p>
    <w:p w14:paraId="0F05F432">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受让的标的债权，可能因法律或政策的不明朗，在乙方受让后以其名义向法院或仲裁机构提起诉讼或仲裁、申请变更诉讼或执行主体时，该等法院或仲裁机构不予受理、不予审理、不予支持、不予变更、不予执行等致使乙方权利难以行使或落空的风险。</w:t>
      </w:r>
    </w:p>
    <w:p w14:paraId="0331853B">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乙方已被告知并完全理解，其受让的标的债权</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以现状转让，</w:t>
      </w:r>
      <w:r>
        <w:rPr>
          <w:rFonts w:hint="eastAsia" w:asciiTheme="minorEastAsia" w:hAnsiTheme="minorEastAsia" w:eastAsiaTheme="minorEastAsia"/>
          <w:b/>
          <w:bCs/>
          <w:color w:val="000000" w:themeColor="text1"/>
          <w:sz w:val="28"/>
          <w:szCs w:val="28"/>
          <w14:textFill>
            <w14:solidFill>
              <w14:schemeClr w14:val="tx1"/>
            </w14:solidFill>
          </w14:textFill>
        </w:rPr>
        <w:t>可能存在着瑕疵或尚未发现的重大缺陷，以至于乙方预期利益无法最终实现。乙方并同意，甲方对所转让的标的债权不承担法律上的合法性、有效性等瑕疵担保责任。</w:t>
      </w:r>
    </w:p>
    <w:p w14:paraId="386E5064">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乙方已被告知并完全理解，乙方受让的标的债权，可能因存在计算误差或发生变动等，从而导致乙方实际接收的标的债权金额与本协议第</w:t>
      </w:r>
      <w:r>
        <w:rPr>
          <w:rFonts w:asciiTheme="minorEastAsia" w:hAnsiTheme="minorEastAsia" w:eastAsiaTheme="minorEastAsia"/>
          <w:b/>
          <w:bCs/>
          <w:color w:val="000000" w:themeColor="text1"/>
          <w:sz w:val="28"/>
          <w:szCs w:val="28"/>
          <w14:textFill>
            <w14:solidFill>
              <w14:schemeClr w14:val="tx1"/>
            </w14:solidFill>
          </w14:textFill>
        </w:rPr>
        <w:t>1.1条、第2.2</w:t>
      </w:r>
      <w:r>
        <w:rPr>
          <w:rFonts w:hint="eastAsia" w:asciiTheme="minorEastAsia" w:hAnsiTheme="minorEastAsia" w:eastAsiaTheme="minorEastAsia"/>
          <w:b/>
          <w:bCs/>
          <w:color w:val="000000" w:themeColor="text1"/>
          <w:sz w:val="28"/>
          <w:szCs w:val="28"/>
          <w14:textFill>
            <w14:solidFill>
              <w14:schemeClr w14:val="tx1"/>
            </w14:solidFill>
          </w14:textFill>
        </w:rPr>
        <w:t>条表述标的债权、本协议附件一所列明的债权金额不完全一致。</w:t>
      </w:r>
    </w:p>
    <w:p w14:paraId="2DE7F98F">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标的债权中如果存在部分债务人为国有企业，依据有关法律法规及司法解释的规定，对该企业履行了出资职责或者持有该企业国有资本的单位对该等债权享有优先购买权，如该等单位对本资产所涉及的债权行使优先购买权，从而导致甲方不能根据本协议的约定将该等债权转让给乙方或转让行为无效或使乙方存在获得该等债权的障碍，乙方对此表示理解与接受，放弃追究甲方的任何责任。</w:t>
      </w:r>
    </w:p>
    <w:p w14:paraId="38F26725">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乙方受让的标的债权及其从权利可能存在的瑕疵或重大缺陷包括但不限于下列一项或多项：</w:t>
      </w:r>
    </w:p>
    <w:p w14:paraId="66F75EC9">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（1）与标的债权相关的借款人或担保人或其他责任主体可能存在破产、被解散、被撤销、被注销、被吊销、歇业、被关闭、下落不明以及其他主体存续瑕疵的情形；</w:t>
      </w:r>
    </w:p>
    <w:p w14:paraId="47016304">
      <w:pPr>
        <w:tabs>
          <w:tab w:val="left" w:pos="666"/>
        </w:tabs>
        <w:spacing w:line="360" w:lineRule="auto"/>
        <w:ind w:firstLine="422" w:firstLineChars="15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（2）标的债权可能存在未生效、无效或被撤销的情形；</w:t>
      </w:r>
    </w:p>
    <w:p w14:paraId="7DDCF4D5">
      <w:pPr>
        <w:tabs>
          <w:tab w:val="left" w:pos="666"/>
        </w:tabs>
        <w:spacing w:line="360" w:lineRule="auto"/>
        <w:ind w:firstLine="422" w:firstLineChars="15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（3）标的债权可能已超过诉讼时效或丧失相关的法定期间或因其他原因已部分消灭或成为自然债；</w:t>
      </w:r>
    </w:p>
    <w:p w14:paraId="2491286A">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（4）标的债权附属的担保协议虚假、不能依法成立或者生效、无效或被撤销，担保人不承担全部担保责任或只承担部分担保责任；</w:t>
      </w:r>
    </w:p>
    <w:p w14:paraId="1AB23E9C">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（5）标的债权附属的保证协议约定主债权不可转让或只对特定债权人承担保证责任；</w:t>
      </w:r>
    </w:p>
    <w:p w14:paraId="176B95B7">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（6）标的债权的保证担保在保证协议约定或法律规定的保证期间内因没有向债务人或保证人主张权利，而造成保证人不再承担保证责任或免责；</w:t>
      </w:r>
    </w:p>
    <w:p w14:paraId="79C9B639">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（7）标的债权的保证已过诉讼时效；</w:t>
      </w:r>
    </w:p>
    <w:p w14:paraId="08D5CD3B">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（8）标的债权的担保物权在主债权诉讼时效完成后未予行使；</w:t>
      </w:r>
    </w:p>
    <w:p w14:paraId="7A16F340">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（9）标的债权的担保物权因担保物灭失而消灭，且没有代位物或其他物上代位权可行使；</w:t>
      </w:r>
    </w:p>
    <w:p w14:paraId="59736436">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（10）标的债权的抵押物实际不存在，抵押物重复抵押，抵押协议实际未生效，抵押担保应办理抵押登记而未办理；或因动产抵押协议未办理登记而抵押物已为第三人善意取得；</w:t>
      </w:r>
    </w:p>
    <w:p w14:paraId="29A01492">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（11）标的债权及其附属的最高额抵押，可能因最高额抵押的决算期未届满而发生一次或数次转让，从而可能造成抵押权甚至主债权落空的风险；</w:t>
      </w:r>
    </w:p>
    <w:p w14:paraId="3067961B">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（12）部分标的债权可能已被全部或部分减免、被抵销、被清偿；</w:t>
      </w:r>
    </w:p>
    <w:p w14:paraId="596B73F3">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（13）已经进入诉讼程序的标的债权可能存在因超过法定上诉期限、申请执行期限而无法获得法律保护；</w:t>
      </w:r>
    </w:p>
    <w:p w14:paraId="5788B1E3">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14）全部或部分债权经法院或仲裁机构裁判未获得其支持而败诉或部分败诉、法院已裁定终结执行等诉讼风险；受让标的后对债权中的利息、罚息等诉求经法院或仲裁机构裁判未获得其支持而败诉或部分败诉、法院已裁定终结执行等诉讼风险</w:t>
      </w:r>
    </w:p>
    <w:p w14:paraId="0C1BC94F">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（15）已经进入诉讼程序的不良资产债权，可能存在由于甲方未能在法律规定的期限内申请继续查封而导致甲方对债务人的资产失去控制；</w:t>
      </w:r>
    </w:p>
    <w:p w14:paraId="3893CA27">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（16）标的债权在交易基准日后仍会发生变化；</w:t>
      </w:r>
    </w:p>
    <w:p w14:paraId="3871F50E">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（17）主从债权证明文件仅为复印件，或者主从债权证明文件存在缺失、不完整或内容冲突等相关情形；随标的债权一并转让的垫付费用</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如有</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
          <w:bCs/>
          <w:color w:val="000000" w:themeColor="text1"/>
          <w:sz w:val="28"/>
          <w:szCs w:val="28"/>
          <w14:textFill>
            <w14:solidFill>
              <w14:schemeClr w14:val="tx1"/>
            </w14:solidFill>
          </w14:textFill>
        </w:rPr>
        <w:t>等可能缺少相关票据文件等而不被法院或仲裁机构支持，致使该部分债权无法实现；</w:t>
      </w:r>
    </w:p>
    <w:p w14:paraId="32F0345F">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（18）原债权人未就标的债权的转让通知债务人使得债权转让尚未对债务人发生法律效力；</w:t>
      </w:r>
    </w:p>
    <w:p w14:paraId="7E6C5603">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（19）可能存在诉讼或执行主体无法变更、利息无法得到支持以及因前手无法提供资料等原因导致无法启动或者推进司法追偿程序等瑕疵；</w:t>
      </w:r>
    </w:p>
    <w:p w14:paraId="7DEE0D4D">
      <w:pPr>
        <w:spacing w:line="560" w:lineRule="exact"/>
        <w:ind w:firstLine="562" w:firstLineChars="200"/>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（20）债务人、担保人可能存在其他涉诉、涉执、列入失信被执行人名单等情形；</w:t>
      </w:r>
    </w:p>
    <w:p w14:paraId="2A28429D">
      <w:pPr>
        <w:keepNext w:val="0"/>
        <w:keepLines w:val="0"/>
        <w:widowControl/>
        <w:suppressLineNumbers w:val="0"/>
        <w:spacing w:before="0" w:beforeAutospacing="0" w:after="0" w:afterAutospacing="0" w:line="560" w:lineRule="atLeast"/>
        <w:ind w:left="0" w:right="0" w:firstLine="561"/>
        <w:jc w:val="both"/>
        <w:rPr>
          <w:rFonts w:ascii="Calibri" w:hAnsi="Calibri" w:cs="Calibri"/>
          <w:i w:val="0"/>
          <w:iCs w:val="0"/>
          <w:caps w:val="0"/>
          <w:color w:val="000000"/>
          <w:spacing w:val="0"/>
          <w:sz w:val="21"/>
          <w:szCs w:val="21"/>
          <w:u w:val="none"/>
        </w:rPr>
      </w:pPr>
      <w:r>
        <w:rPr>
          <w:rFonts w:hint="eastAsia" w:ascii="宋体" w:hAnsi="宋体" w:eastAsia="宋体" w:cs="宋体"/>
          <w:b/>
          <w:bCs/>
          <w:i w:val="0"/>
          <w:iCs w:val="0"/>
          <w:caps w:val="0"/>
          <w:color w:val="000000"/>
          <w:spacing w:val="0"/>
          <w:kern w:val="0"/>
          <w:sz w:val="28"/>
          <w:szCs w:val="28"/>
          <w:u w:val="none"/>
          <w:lang w:val="en-US" w:eastAsia="zh-CN" w:bidi="ar"/>
        </w:rPr>
        <w:t>（21）基准日债权金额为一般性描述，标的债权可能因冲抵顺序、计算误差、司法执行现状等原因造成债权金额发生变化；</w:t>
      </w:r>
    </w:p>
    <w:p w14:paraId="0DCAEC3F">
      <w:pPr>
        <w:keepNext w:val="0"/>
        <w:keepLines w:val="0"/>
        <w:widowControl/>
        <w:suppressLineNumbers w:val="0"/>
        <w:spacing w:before="0" w:beforeAutospacing="0" w:after="0" w:afterAutospacing="0" w:line="560" w:lineRule="atLeast"/>
        <w:ind w:left="0" w:right="0" w:firstLine="561"/>
        <w:jc w:val="both"/>
        <w:rPr>
          <w:rFonts w:hint="default" w:ascii="Calibri" w:hAnsi="Calibri" w:cs="Calibri"/>
          <w:i w:val="0"/>
          <w:iCs w:val="0"/>
          <w:caps w:val="0"/>
          <w:color w:val="000000"/>
          <w:spacing w:val="0"/>
          <w:sz w:val="21"/>
          <w:szCs w:val="21"/>
          <w:u w:val="none"/>
        </w:rPr>
      </w:pPr>
      <w:r>
        <w:rPr>
          <w:rFonts w:hint="eastAsia" w:ascii="宋体" w:hAnsi="宋体" w:eastAsia="宋体" w:cs="宋体"/>
          <w:b/>
          <w:bCs/>
          <w:i w:val="0"/>
          <w:iCs w:val="0"/>
          <w:caps w:val="0"/>
          <w:color w:val="000000"/>
          <w:spacing w:val="0"/>
          <w:kern w:val="0"/>
          <w:sz w:val="28"/>
          <w:szCs w:val="28"/>
          <w:u w:val="none"/>
          <w:lang w:val="en-US" w:eastAsia="zh-CN" w:bidi="ar"/>
        </w:rPr>
        <w:t>（22）根据属地不动产登记部门出具的查询结果，未见抵押土地权属、抵押等登记信息（土地证号：瓮国用（2010）第00125号，他项权证号：他项（2013）006号），该土地可能已办理“房地一体”登记，或已无法单独就该土地部分主张抵押优先受偿权；抵押土地（土地证号：瓮国用（2015）第00010号）上已有建设警示教育基地、住宅等（抵押登记后建设的建筑物）不属于抵押物范围的建筑物，可能对主张该土地的优先受偿权造成障碍。上述抵押土地的现状可能造成抵押权难以实现。上述土地对应土地出让金可能未完全缴纳。</w:t>
      </w:r>
    </w:p>
    <w:p w14:paraId="6D0999C7">
      <w:pPr>
        <w:keepNext w:val="0"/>
        <w:keepLines w:val="0"/>
        <w:widowControl/>
        <w:suppressLineNumbers w:val="0"/>
        <w:spacing w:before="0" w:beforeAutospacing="0" w:after="0" w:afterAutospacing="0" w:line="560" w:lineRule="atLeast"/>
        <w:ind w:left="0" w:right="0" w:firstLine="561"/>
        <w:jc w:val="both"/>
        <w:rPr>
          <w:rFonts w:hint="default" w:ascii="Calibri" w:hAnsi="Calibri" w:cs="Calibri"/>
          <w:i w:val="0"/>
          <w:iCs w:val="0"/>
          <w:caps w:val="0"/>
          <w:color w:val="000000"/>
          <w:spacing w:val="0"/>
          <w:sz w:val="21"/>
          <w:szCs w:val="21"/>
          <w:u w:val="none"/>
        </w:rPr>
      </w:pPr>
      <w:r>
        <w:rPr>
          <w:rFonts w:hint="eastAsia" w:ascii="宋体" w:hAnsi="宋体" w:eastAsia="宋体" w:cs="宋体"/>
          <w:b/>
          <w:bCs/>
          <w:i w:val="0"/>
          <w:iCs w:val="0"/>
          <w:caps w:val="0"/>
          <w:color w:val="000000"/>
          <w:spacing w:val="0"/>
          <w:kern w:val="0"/>
          <w:sz w:val="28"/>
          <w:szCs w:val="28"/>
          <w:u w:val="none"/>
          <w:lang w:val="en-US" w:eastAsia="zh-CN" w:bidi="ar"/>
        </w:rPr>
        <w:t>（23）在建工程抵押物可能因欠付工程价款被施工方主张工程款优先权，导致抵押权难以实现或抵押权价值贬损；</w:t>
      </w:r>
    </w:p>
    <w:p w14:paraId="32DA3F71">
      <w:pPr>
        <w:keepNext w:val="0"/>
        <w:keepLines w:val="0"/>
        <w:widowControl/>
        <w:suppressLineNumbers w:val="0"/>
        <w:spacing w:before="0" w:beforeAutospacing="0" w:after="0" w:afterAutospacing="0" w:line="560" w:lineRule="atLeast"/>
        <w:ind w:left="0" w:right="0" w:firstLine="561"/>
        <w:jc w:val="both"/>
        <w:rPr>
          <w:rFonts w:hint="default" w:ascii="Calibri" w:hAnsi="Calibri" w:cs="Calibri"/>
          <w:i w:val="0"/>
          <w:iCs w:val="0"/>
          <w:caps w:val="0"/>
          <w:color w:val="000000"/>
          <w:spacing w:val="0"/>
          <w:sz w:val="21"/>
          <w:szCs w:val="21"/>
          <w:u w:val="none"/>
        </w:rPr>
      </w:pPr>
      <w:r>
        <w:rPr>
          <w:rFonts w:hint="eastAsia" w:ascii="宋体" w:hAnsi="宋体" w:eastAsia="宋体" w:cs="宋体"/>
          <w:b/>
          <w:bCs/>
          <w:i w:val="0"/>
          <w:iCs w:val="0"/>
          <w:caps w:val="0"/>
          <w:color w:val="000000"/>
          <w:spacing w:val="0"/>
          <w:kern w:val="0"/>
          <w:sz w:val="28"/>
          <w:szCs w:val="28"/>
          <w:u w:val="none"/>
          <w:lang w:val="en-US" w:eastAsia="zh-CN" w:bidi="ar"/>
        </w:rPr>
        <w:t>（24）根据属地不动产登记部门出具的查询结果，车库抵押物未有权属登记，车库权属不明，该车库可能涉及人防车位、不计算容积率的车位等规划性质，导致无法实现抵押优先受偿权、抵押无效等风险；</w:t>
      </w:r>
    </w:p>
    <w:p w14:paraId="42A5102F">
      <w:pPr>
        <w:keepNext w:val="0"/>
        <w:keepLines w:val="0"/>
        <w:widowControl/>
        <w:suppressLineNumbers w:val="0"/>
        <w:spacing w:before="0" w:beforeAutospacing="0" w:after="0" w:afterAutospacing="0" w:line="560" w:lineRule="atLeast"/>
        <w:ind w:left="0" w:right="0" w:firstLine="561"/>
        <w:jc w:val="both"/>
        <w:rPr>
          <w:rFonts w:hint="default" w:ascii="Calibri" w:hAnsi="Calibri" w:cs="Calibri"/>
          <w:i w:val="0"/>
          <w:iCs w:val="0"/>
          <w:caps w:val="0"/>
          <w:color w:val="000000"/>
          <w:spacing w:val="0"/>
          <w:sz w:val="21"/>
          <w:szCs w:val="21"/>
          <w:u w:val="none"/>
        </w:rPr>
      </w:pPr>
      <w:r>
        <w:rPr>
          <w:rFonts w:hint="eastAsia" w:ascii="宋体" w:hAnsi="宋体" w:eastAsia="宋体" w:cs="宋体"/>
          <w:b/>
          <w:bCs/>
          <w:i w:val="0"/>
          <w:iCs w:val="0"/>
          <w:caps w:val="0"/>
          <w:color w:val="000000"/>
          <w:spacing w:val="0"/>
          <w:kern w:val="0"/>
          <w:sz w:val="28"/>
          <w:szCs w:val="28"/>
          <w:u w:val="none"/>
          <w:lang w:val="en-US" w:eastAsia="zh-CN" w:bidi="ar"/>
        </w:rPr>
        <w:t>（25）部分抵押物存在占用、租赁、拆迁安置还房、物业用房，抵押人私自对外销售，第三人对抵押物主张权益等情形，可能导致抵押物优先受偿权难以实现；</w:t>
      </w:r>
    </w:p>
    <w:p w14:paraId="380F1C63">
      <w:pPr>
        <w:keepNext w:val="0"/>
        <w:keepLines w:val="0"/>
        <w:widowControl/>
        <w:suppressLineNumbers w:val="0"/>
        <w:spacing w:before="0" w:beforeAutospacing="0" w:after="0" w:afterAutospacing="0" w:line="560" w:lineRule="atLeast"/>
        <w:ind w:left="0" w:right="0" w:firstLine="561"/>
        <w:jc w:val="both"/>
        <w:rPr>
          <w:rFonts w:hint="default" w:ascii="Calibri" w:hAnsi="Calibri" w:cs="Calibri"/>
          <w:i w:val="0"/>
          <w:iCs w:val="0"/>
          <w:caps w:val="0"/>
          <w:color w:val="000000"/>
          <w:spacing w:val="0"/>
          <w:sz w:val="21"/>
          <w:szCs w:val="21"/>
          <w:u w:val="none"/>
        </w:rPr>
      </w:pPr>
      <w:r>
        <w:rPr>
          <w:rFonts w:hint="eastAsia" w:ascii="宋体" w:hAnsi="宋体" w:eastAsia="宋体" w:cs="宋体"/>
          <w:b/>
          <w:bCs/>
          <w:i w:val="0"/>
          <w:iCs w:val="0"/>
          <w:caps w:val="0"/>
          <w:color w:val="000000"/>
          <w:spacing w:val="0"/>
          <w:kern w:val="0"/>
          <w:sz w:val="28"/>
          <w:szCs w:val="28"/>
          <w:u w:val="none"/>
          <w:lang w:val="en-US" w:eastAsia="zh-CN" w:bidi="ar"/>
        </w:rPr>
        <w:t>（26）抵押协议、生效法律文书、不动产登记部门登记信息等文书对抵押物的具体面积、套数、相关权证信息等存在不一致情况，实际享有的抵押权以登记现状、司法执行支持现状等为准。同时因部分抵押物存在私售、司法拍卖、以物抵债等情况，导致生效法律文书确认的抵押物范围与登记部门查询结果不一致，可主张的抵押物优先权以实际登记信息且司法执行程序认定的无争议部分为准；</w:t>
      </w:r>
    </w:p>
    <w:p w14:paraId="152746F2">
      <w:pPr>
        <w:keepNext w:val="0"/>
        <w:keepLines w:val="0"/>
        <w:widowControl/>
        <w:suppressLineNumbers w:val="0"/>
        <w:spacing w:before="0" w:beforeAutospacing="0" w:after="0" w:afterAutospacing="0" w:line="560" w:lineRule="atLeast"/>
        <w:ind w:left="0" w:right="0" w:firstLine="561"/>
        <w:jc w:val="both"/>
        <w:rPr>
          <w:rFonts w:hint="default" w:ascii="Calibri" w:hAnsi="Calibri" w:cs="Calibri"/>
          <w:i w:val="0"/>
          <w:iCs w:val="0"/>
          <w:caps w:val="0"/>
          <w:color w:val="000000"/>
          <w:spacing w:val="0"/>
          <w:sz w:val="21"/>
          <w:szCs w:val="21"/>
          <w:u w:val="none"/>
        </w:rPr>
      </w:pPr>
      <w:r>
        <w:rPr>
          <w:rFonts w:hint="eastAsia" w:ascii="宋体" w:hAnsi="宋体" w:eastAsia="宋体" w:cs="宋体"/>
          <w:b/>
          <w:bCs/>
          <w:i w:val="0"/>
          <w:iCs w:val="0"/>
          <w:caps w:val="0"/>
          <w:color w:val="000000"/>
          <w:spacing w:val="0"/>
          <w:kern w:val="0"/>
          <w:sz w:val="28"/>
          <w:szCs w:val="28"/>
          <w:u w:val="none"/>
          <w:lang w:val="en-US" w:eastAsia="zh-CN" w:bidi="ar"/>
        </w:rPr>
        <w:t>（27）标的债权涉及收取债务重组顾问费可能对主债权确权金额带来潜在风险；</w:t>
      </w:r>
    </w:p>
    <w:p w14:paraId="7E6FF1AE">
      <w:pPr>
        <w:keepNext w:val="0"/>
        <w:keepLines w:val="0"/>
        <w:widowControl/>
        <w:suppressLineNumbers w:val="0"/>
        <w:spacing w:before="0" w:beforeAutospacing="0" w:after="0" w:afterAutospacing="0" w:line="560" w:lineRule="atLeast"/>
        <w:ind w:left="0" w:right="0" w:firstLine="561"/>
        <w:jc w:val="both"/>
        <w:rPr>
          <w:rFonts w:hint="default" w:ascii="Calibri" w:hAnsi="Calibri" w:cs="Calibri"/>
          <w:i w:val="0"/>
          <w:iCs w:val="0"/>
          <w:caps w:val="0"/>
          <w:color w:val="000000"/>
          <w:spacing w:val="0"/>
          <w:sz w:val="21"/>
          <w:szCs w:val="21"/>
          <w:u w:val="none"/>
        </w:rPr>
      </w:pPr>
      <w:r>
        <w:rPr>
          <w:rFonts w:hint="eastAsia" w:ascii="宋体" w:hAnsi="宋体" w:eastAsia="宋体" w:cs="宋体"/>
          <w:b/>
          <w:bCs/>
          <w:i w:val="0"/>
          <w:iCs w:val="0"/>
          <w:caps w:val="0"/>
          <w:color w:val="000000"/>
          <w:spacing w:val="0"/>
          <w:kern w:val="0"/>
          <w:sz w:val="28"/>
          <w:szCs w:val="28"/>
          <w:u w:val="none"/>
          <w:lang w:val="en-US" w:eastAsia="zh-CN" w:bidi="ar"/>
        </w:rPr>
        <w:t>（28）标的债权的查封期限以现状为准；</w:t>
      </w:r>
    </w:p>
    <w:p w14:paraId="1DACA497">
      <w:pPr>
        <w:keepNext w:val="0"/>
        <w:keepLines w:val="0"/>
        <w:widowControl/>
        <w:suppressLineNumbers w:val="0"/>
        <w:spacing w:before="0" w:beforeAutospacing="0" w:after="0" w:afterAutospacing="0" w:line="560" w:lineRule="atLeast"/>
        <w:ind w:left="0" w:right="0" w:firstLine="561"/>
        <w:jc w:val="both"/>
        <w:rPr>
          <w:rFonts w:hint="default" w:ascii="Calibri" w:hAnsi="Calibri" w:cs="Calibri"/>
          <w:i w:val="0"/>
          <w:iCs w:val="0"/>
          <w:caps w:val="0"/>
          <w:color w:val="000000"/>
          <w:spacing w:val="0"/>
          <w:sz w:val="21"/>
          <w:szCs w:val="21"/>
          <w:u w:val="none"/>
        </w:rPr>
      </w:pPr>
      <w:r>
        <w:rPr>
          <w:rFonts w:hint="eastAsia" w:ascii="宋体" w:hAnsi="宋体" w:eastAsia="宋体" w:cs="宋体"/>
          <w:b/>
          <w:bCs/>
          <w:i w:val="0"/>
          <w:iCs w:val="0"/>
          <w:caps w:val="0"/>
          <w:color w:val="000000"/>
          <w:spacing w:val="0"/>
          <w:kern w:val="0"/>
          <w:sz w:val="28"/>
          <w:szCs w:val="28"/>
          <w:u w:val="none"/>
          <w:lang w:val="en-US" w:eastAsia="zh-CN" w:bidi="ar"/>
        </w:rPr>
        <w:t>（29）标的债权及其从权利的其他瑕疵或重大缺陷。</w:t>
      </w:r>
    </w:p>
    <w:p w14:paraId="47A4F3F2">
      <w:pPr>
        <w:spacing w:line="560" w:lineRule="exact"/>
        <w:ind w:firstLine="56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7.2</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独立决策</w:t>
      </w:r>
    </w:p>
    <w:p w14:paraId="437C5538">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7.2.1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乙方确认，乙方对标的债权的定价系其根据债权金额、债务人的履行能力、债权瑕疵程度、债务人资产状况、法律政策风险等影响标的债权价值的一切因素独立进行综合考量后作出的商业决策。</w:t>
      </w:r>
    </w:p>
    <w:p w14:paraId="012861B9">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7.2.2  乙方作出前述商业决策前，已对标的债权的情况开展了有关法律及财务方面的尽职调查工作，乙方开展的尽职调查工作并不依赖于甲方提供的任何与标的债权有关的文件、资料、说明或协助。</w:t>
      </w:r>
    </w:p>
    <w:p w14:paraId="4CB90DC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14:paraId="65B73AB4">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第八条  声明和保证</w:t>
      </w:r>
    </w:p>
    <w:p w14:paraId="65E27906">
      <w:pPr>
        <w:spacing w:line="560" w:lineRule="exact"/>
        <w:ind w:firstLine="56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8.1</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甲方声明和保证</w:t>
      </w:r>
    </w:p>
    <w:p w14:paraId="3BA37567">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8.1.1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甲方有权处置标的债权，具备合法的资格和能力签署本协议，并已采取一切必要的行动以获得授权签署及履行本协议。</w:t>
      </w:r>
    </w:p>
    <w:p w14:paraId="0D75079E">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8.1.2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为使本协议保持有效性和可执行性，若在本协议履行期间根据适时颁布的法律规定某些手续需要履行，甲方须按照适用法律的要求及时取得、更新或延续所有必要的授权、批准、同意、许可、备案及/或登记等，并及时向乙方提供正式已完成这些手续的文件资料。</w:t>
      </w:r>
    </w:p>
    <w:p w14:paraId="3EFAFC2C">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8.1.3</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标的债权可能存在着瑕疵或尚未发现的重大缺陷，甲方对乙方就标的债权的收益不作任何的保证与承诺。</w:t>
      </w:r>
    </w:p>
    <w:p w14:paraId="0D25E1CA">
      <w:pPr>
        <w:pStyle w:val="3"/>
        <w:keepNext w:val="0"/>
        <w:keepLines w:val="0"/>
        <w:widowControl w:val="0"/>
        <w:numPr>
          <w:ilvl w:val="0"/>
          <w:numId w:val="0"/>
        </w:numPr>
        <w:spacing w:before="0" w:after="0" w:line="560" w:lineRule="exact"/>
        <w:ind w:firstLine="551" w:firstLineChars="196"/>
        <w:jc w:val="both"/>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lang w:eastAsia="zh-CN"/>
          <w14:textFill>
            <w14:solidFill>
              <w14:schemeClr w14:val="tx1"/>
            </w14:solidFill>
          </w14:textFill>
        </w:rPr>
        <w:t>8.2</w:t>
      </w: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乙方声明和保证</w:t>
      </w:r>
    </w:p>
    <w:p w14:paraId="27D1457A">
      <w:pPr>
        <w:pStyle w:val="3"/>
        <w:keepNext w:val="0"/>
        <w:keepLines w:val="0"/>
        <w:widowControl w:val="0"/>
        <w:numPr>
          <w:ilvl w:val="0"/>
          <w:numId w:val="0"/>
        </w:numPr>
        <w:spacing w:before="0" w:after="0" w:line="560" w:lineRule="exact"/>
        <w:ind w:firstLine="560" w:firstLineChars="200"/>
        <w:jc w:val="both"/>
        <w:rPr>
          <w:rFonts w:hint="eastAsia" w:asciiTheme="minorEastAsia" w:hAnsiTheme="minorEastAsia" w:eastAsiaTheme="minorEastAsia"/>
          <w:b w:val="0"/>
          <w:caps w:val="0"/>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b w:val="0"/>
          <w:caps w:val="0"/>
          <w:color w:val="000000" w:themeColor="text1"/>
          <w:kern w:val="2"/>
          <w:sz w:val="28"/>
          <w:szCs w:val="28"/>
          <w:lang w:eastAsia="zh-CN"/>
          <w14:textFill>
            <w14:solidFill>
              <w14:schemeClr w14:val="tx1"/>
            </w14:solidFill>
          </w14:textFill>
        </w:rPr>
        <w:t>8.2.1</w:t>
      </w:r>
      <w:r>
        <w:rPr>
          <w:rFonts w:hint="eastAsia" w:asciiTheme="minorEastAsia" w:hAnsiTheme="minorEastAsia" w:eastAsiaTheme="minorEastAsia"/>
          <w:b w:val="0"/>
          <w:caps w:val="0"/>
          <w:color w:val="000000" w:themeColor="text1"/>
          <w:kern w:val="2"/>
          <w:sz w:val="28"/>
          <w:szCs w:val="28"/>
          <w:lang w:val="en-US" w:eastAsia="zh-CN"/>
          <w14:textFill>
            <w14:solidFill>
              <w14:schemeClr w14:val="tx1"/>
            </w14:solidFill>
          </w14:textFill>
        </w:rPr>
        <w:t xml:space="preserve"> </w:t>
      </w:r>
      <w:r>
        <w:rPr>
          <w:rFonts w:hint="eastAsia" w:asciiTheme="minorEastAsia" w:hAnsiTheme="minorEastAsia" w:eastAsiaTheme="minorEastAsia"/>
          <w:b w:val="0"/>
          <w:caps w:val="0"/>
          <w:color w:val="000000" w:themeColor="text1"/>
          <w:kern w:val="2"/>
          <w:sz w:val="28"/>
          <w:szCs w:val="28"/>
          <w:lang w:eastAsia="zh-CN"/>
          <w14:textFill>
            <w14:solidFill>
              <w14:schemeClr w14:val="tx1"/>
            </w14:solidFill>
          </w14:textFill>
        </w:rPr>
        <w:t xml:space="preserve"> 乙方拥有签署、交付和履行本协议以及从事本协议项下交易的授权和权利，包括但不限于按本协议购买和收购债权。</w:t>
      </w:r>
      <w:r>
        <w:rPr>
          <w:rFonts w:asciiTheme="minorEastAsia" w:hAnsiTheme="minorEastAsia" w:eastAsiaTheme="minorEastAsia"/>
          <w:b w:val="0"/>
          <w:caps w:val="0"/>
          <w:color w:val="000000" w:themeColor="text1"/>
          <w:kern w:val="2"/>
          <w:sz w:val="28"/>
          <w:szCs w:val="28"/>
          <w:lang w:eastAsia="zh-CN"/>
          <w14:textFill>
            <w14:solidFill>
              <w14:schemeClr w14:val="tx1"/>
            </w14:solidFill>
          </w14:textFill>
        </w:rPr>
        <w:t xml:space="preserve"> </w:t>
      </w:r>
    </w:p>
    <w:p w14:paraId="6B4EFA91">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8.2</w:t>
      </w:r>
      <w:r>
        <w:rPr>
          <w:rFonts w:asciiTheme="minorEastAsia" w:hAnsiTheme="minorEastAsia" w:eastAsiaTheme="minorEastAsia"/>
          <w:snapToGrid w:val="0"/>
          <w:color w:val="000000" w:themeColor="text1"/>
          <w:kern w:val="28"/>
          <w:sz w:val="28"/>
          <w:szCs w:val="28"/>
          <w14:textFill>
            <w14:solidFill>
              <w14:schemeClr w14:val="tx1"/>
            </w14:solidFill>
          </w14:textFill>
        </w:rPr>
        <w:t>.2</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14:textFill>
            <w14:solidFill>
              <w14:schemeClr w14:val="tx1"/>
            </w14:solidFill>
          </w14:textFill>
        </w:rPr>
        <w:t>乙方承诺具备收购标的债权的受让资格，符合现行法律法规及其他相关规范性文件有关受让资格的规定，包括但不限于：</w:t>
      </w:r>
    </w:p>
    <w:p w14:paraId="45E2288B">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kern w:val="0"/>
          <w:sz w:val="28"/>
          <w:szCs w:val="28"/>
          <w14:textFill>
            <w14:solidFill>
              <w14:schemeClr w14:val="tx1"/>
            </w14:solidFill>
          </w14:textFill>
        </w:rPr>
        <w:t>自身并非国家公务员、金融监管机构工作人员、政法干警、金融资产管理公司的工作人员、原债务人管理层以及参与资产处置工作的律师、会计师、评估师等中介机构所属人员等有关联的人员，或者上述关联人参与的非金融机构；</w:t>
      </w:r>
    </w:p>
    <w:p w14:paraId="4B197494">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w:t>
      </w:r>
      <w:r>
        <w:rPr>
          <w:rFonts w:hint="eastAsia" w:asciiTheme="minorEastAsia" w:hAnsiTheme="minorEastAsia" w:eastAsiaTheme="minorEastAsia"/>
          <w:color w:val="000000" w:themeColor="text1"/>
          <w:kern w:val="0"/>
          <w:sz w:val="28"/>
          <w:szCs w:val="28"/>
          <w14:textFill>
            <w14:solidFill>
              <w14:schemeClr w14:val="tx1"/>
            </w14:solidFill>
          </w14:textFill>
        </w:rPr>
        <w:t>并非与参与不良债权转让的金融资产管理公司工作人员、国有企业债务人或者受托资产评估机构负责人等有直系亲属关系的人员；</w:t>
      </w:r>
    </w:p>
    <w:p w14:paraId="74ECF5FD">
      <w:pPr>
        <w:spacing w:line="560" w:lineRule="exact"/>
        <w:ind w:firstLine="562"/>
        <w:rPr>
          <w:rFonts w:hint="eastAsia" w:asciiTheme="minorEastAsia" w:hAnsiTheme="minorEastAsia" w:eastAsiaTheme="minorEastAsia"/>
          <w:color w:val="000000" w:themeColor="text1"/>
          <w:kern w:val="0"/>
          <w:sz w:val="28"/>
          <w:szCs w:val="28"/>
          <w:highlight w:val="yellow"/>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（3）并非债务企业的控股股东、实际控制人及其控股下属公司，并非担保企业及其控股下属公司，以及并</w:t>
      </w:r>
      <w:r>
        <w:rPr>
          <w:rFonts w:hint="default" w:asciiTheme="minorEastAsia" w:hAnsiTheme="minorEastAsia" w:eastAsiaTheme="minorEastAsia"/>
          <w:color w:val="000000" w:themeColor="text1"/>
          <w:kern w:val="0"/>
          <w:sz w:val="28"/>
          <w:szCs w:val="28"/>
          <w:lang w:val="en-US"/>
          <w14:textFill>
            <w14:solidFill>
              <w14:schemeClr w14:val="tx1"/>
            </w14:solidFill>
          </w14:textFill>
        </w:rPr>
        <w:t>非</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债务企业的其他关联方</w:t>
      </w:r>
      <w:r>
        <w:rPr>
          <w:rFonts w:hint="eastAsia" w:asciiTheme="minorEastAsia" w:hAnsiTheme="minorEastAsia" w:eastAsiaTheme="minorEastAsia"/>
          <w:color w:val="000000" w:themeColor="text1"/>
          <w:kern w:val="0"/>
          <w:sz w:val="28"/>
          <w:szCs w:val="28"/>
          <w14:textFill>
            <w14:solidFill>
              <w14:schemeClr w14:val="tx1"/>
            </w14:solidFill>
          </w14:textFill>
        </w:rPr>
        <w:t>；</w:t>
      </w:r>
    </w:p>
    <w:p w14:paraId="7D47B4F0">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（4）债务人、担保人为自然人的，并非其本人及其直系亲属；</w:t>
      </w:r>
    </w:p>
    <w:p w14:paraId="121EB7D7">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（5）并非上述主体出资成立的法人机构或特殊目的实体；</w:t>
      </w:r>
    </w:p>
    <w:p w14:paraId="782534EA">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（6）并非国家金融监督管理总局认定的其他不宜受让的主体;</w:t>
      </w:r>
    </w:p>
    <w:p w14:paraId="71059CA7">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（7）</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并非</w:t>
      </w:r>
      <w:r>
        <w:rPr>
          <w:rFonts w:hint="eastAsia" w:asciiTheme="minorEastAsia" w:hAnsiTheme="minorEastAsia" w:eastAsiaTheme="minorEastAsia"/>
          <w:color w:val="000000" w:themeColor="text1"/>
          <w:kern w:val="0"/>
          <w:sz w:val="28"/>
          <w:szCs w:val="28"/>
          <w14:textFill>
            <w14:solidFill>
              <w14:schemeClr w14:val="tx1"/>
            </w14:solidFill>
          </w14:textFill>
        </w:rPr>
        <w:t>依照其他法律、法规、监管规定等规范性文件</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规定</w:t>
      </w:r>
      <w:r>
        <w:rPr>
          <w:rFonts w:hint="eastAsia" w:asciiTheme="minorEastAsia" w:hAnsiTheme="minorEastAsia" w:eastAsiaTheme="minorEastAsia"/>
          <w:color w:val="000000" w:themeColor="text1"/>
          <w:kern w:val="0"/>
          <w:sz w:val="28"/>
          <w:szCs w:val="28"/>
          <w14:textFill>
            <w14:solidFill>
              <w14:schemeClr w14:val="tx1"/>
            </w14:solidFill>
          </w14:textFill>
        </w:rPr>
        <w:t>不宜受让标的债权的主体。</w:t>
      </w:r>
    </w:p>
    <w:p w14:paraId="63E0B921">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乙方承诺在本协议履行完毕前，乙方及其工作人员持续符合</w:t>
      </w:r>
      <w:r>
        <w:rPr>
          <w:rFonts w:hint="eastAsia" w:asciiTheme="minorEastAsia" w:hAnsiTheme="minorEastAsia" w:eastAsiaTheme="minorEastAsia"/>
          <w:color w:val="000000" w:themeColor="text1"/>
          <w:kern w:val="0"/>
          <w:sz w:val="28"/>
          <w:szCs w:val="28"/>
          <w14:textFill>
            <w14:solidFill>
              <w14:schemeClr w14:val="tx1"/>
            </w14:solidFill>
          </w14:textFill>
        </w:rPr>
        <w:t>法律、法规、监管规定等规范性文件</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及本协议约定关于受让方资格的限制。</w:t>
      </w:r>
    </w:p>
    <w:p w14:paraId="09E4870E">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8.2.3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为使本协议保持有效性和可执行性，若在本协议履行期间根据适时颁布的法律规定某些手续需要履行，乙方须按照适用法律的要求及时取得、更新或延续所有必要的授权、批准、同意、许可、备案及/或登记等，并及时向甲方提供正式已完成这些手续的文件资料。</w:t>
      </w:r>
    </w:p>
    <w:p w14:paraId="072560D8">
      <w:pPr>
        <w:pStyle w:val="3"/>
        <w:keepNext w:val="0"/>
        <w:keepLines w:val="0"/>
        <w:widowControl w:val="0"/>
        <w:numPr>
          <w:ilvl w:val="0"/>
          <w:numId w:val="0"/>
        </w:numPr>
        <w:spacing w:before="0" w:after="0" w:line="560" w:lineRule="exact"/>
        <w:ind w:firstLine="560" w:firstLineChars="200"/>
        <w:jc w:val="both"/>
        <w:rPr>
          <w:rFonts w:hint="eastAsia" w:asciiTheme="minorEastAsia" w:hAnsiTheme="minorEastAsia" w:eastAsiaTheme="minorEastAsia"/>
          <w:b w:val="0"/>
          <w:bCs/>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b w:val="0"/>
          <w:bCs/>
          <w:color w:val="000000" w:themeColor="text1"/>
          <w:sz w:val="28"/>
          <w:szCs w:val="28"/>
          <w:lang w:eastAsia="zh-CN"/>
          <w14:textFill>
            <w14:solidFill>
              <w14:schemeClr w14:val="tx1"/>
            </w14:solidFill>
          </w14:textFill>
        </w:rPr>
        <w:t xml:space="preserve">8.2.4 </w:t>
      </w:r>
      <w:r>
        <w:rPr>
          <w:rFonts w:hint="eastAsia" w:asciiTheme="minorEastAsia" w:hAnsiTheme="minorEastAsia" w:eastAsiaTheme="minorEastAsia"/>
          <w:b w:val="0"/>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val="0"/>
          <w:bCs/>
          <w:color w:val="000000" w:themeColor="text1"/>
          <w:sz w:val="28"/>
          <w:szCs w:val="28"/>
          <w:lang w:eastAsia="zh-CN"/>
          <w14:textFill>
            <w14:solidFill>
              <w14:schemeClr w14:val="tx1"/>
            </w14:solidFill>
          </w14:textFill>
        </w:rPr>
        <w:t>乙方</w:t>
      </w:r>
      <w:r>
        <w:rPr>
          <w:rFonts w:hint="eastAsia" w:asciiTheme="minorEastAsia" w:hAnsiTheme="minorEastAsia" w:eastAsiaTheme="minorEastAsia"/>
          <w:b w:val="0"/>
          <w:bCs/>
          <w:color w:val="000000" w:themeColor="text1"/>
          <w:kern w:val="2"/>
          <w:sz w:val="28"/>
          <w:szCs w:val="28"/>
          <w:lang w:eastAsia="zh-CN"/>
          <w14:textFill>
            <w14:solidFill>
              <w14:schemeClr w14:val="tx1"/>
            </w14:solidFill>
          </w14:textFill>
        </w:rPr>
        <w:t>已自行评估了标的债权可能的可回收性，并且独立地作出签署本协议的决定，未依赖甲方所作的任何声明。</w:t>
      </w:r>
    </w:p>
    <w:p w14:paraId="144CF9E8">
      <w:pPr>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aps/>
          <w:color w:val="000000" w:themeColor="text1"/>
          <w:sz w:val="28"/>
          <w:szCs w:val="28"/>
          <w14:textFill>
            <w14:solidFill>
              <w14:schemeClr w14:val="tx1"/>
            </w14:solidFill>
          </w14:textFill>
        </w:rPr>
        <w:t xml:space="preserve">8.2.5 </w:t>
      </w:r>
      <w:r>
        <w:rPr>
          <w:rFonts w:hint="eastAsia" w:asciiTheme="minorEastAsia" w:hAnsiTheme="minorEastAsia" w:eastAsiaTheme="minorEastAsia"/>
          <w:b/>
          <w:cap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caps/>
          <w:color w:val="000000" w:themeColor="text1"/>
          <w:sz w:val="28"/>
          <w:szCs w:val="28"/>
          <w14:textFill>
            <w14:solidFill>
              <w14:schemeClr w14:val="tx1"/>
            </w14:solidFill>
          </w14:textFill>
        </w:rPr>
        <w:t>乙方</w:t>
      </w:r>
      <w:r>
        <w:rPr>
          <w:rFonts w:hint="eastAsia" w:asciiTheme="minorEastAsia" w:hAnsiTheme="minorEastAsia" w:eastAsiaTheme="minorEastAsia"/>
          <w:b/>
          <w:color w:val="000000" w:themeColor="text1"/>
          <w:sz w:val="28"/>
          <w:szCs w:val="28"/>
          <w14:textFill>
            <w14:solidFill>
              <w14:schemeClr w14:val="tx1"/>
            </w14:solidFill>
          </w14:textFill>
        </w:rPr>
        <w:t>已经对标的债权进行了必要的调查，并仔细审阅了本协议，并被告知并完全了解本协议项下标的债权，可能存在瑕疵或尚未发现的重大缺陷或因各种因素难以得到清偿以致乙方预期利益可能无法最终实现。乙方对于标的债权存在的风险，包括但不限于债权所包含的利息、罚息请求权不确定性的风险，在受让债权后以乙方名义向法院或仲裁机构提起诉讼或仲裁、申请变更诉讼请求或执行主体时不被法院或仲裁机构受理、审理、变更、执行等致使或可能致使乙方已受让债权权利难以行使或落空的风险等，进行了评估并自愿承担由上述风险造成的一切损失或预期利益的丧失，该损失或预期利益的丧失与甲方无关。</w:t>
      </w:r>
    </w:p>
    <w:p w14:paraId="58725364">
      <w:pPr>
        <w:spacing w:line="52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8.2.6</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乙方承诺就本协议项下资产，在本协议生效后，不向甲方提出任何调整、退还、替换、相应减少本协议第三条规定的转让价款的请求及其他类似请求。不得以重大误解、显失公平或其他任何</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理由</w:t>
      </w:r>
      <w:r>
        <w:rPr>
          <w:rFonts w:hint="eastAsia" w:asciiTheme="minorEastAsia" w:hAnsiTheme="minorEastAsia" w:eastAsiaTheme="minorEastAsia"/>
          <w:b/>
          <w:bCs/>
          <w:color w:val="000000" w:themeColor="text1"/>
          <w:sz w:val="28"/>
          <w:szCs w:val="28"/>
          <w14:textFill>
            <w14:solidFill>
              <w14:schemeClr w14:val="tx1"/>
            </w14:solidFill>
          </w14:textFill>
        </w:rPr>
        <w:t>向甲方由主张变更、撤销、解除本协议或减损本协议效力及其他类似请求。</w:t>
      </w:r>
    </w:p>
    <w:p w14:paraId="0DDEEE9D">
      <w:pPr>
        <w:spacing w:line="52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8.2.7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保证并承诺，其依本协议须向甲方支付的标的债权转让价款为乙方通过合法途径获得的来源合法的资金。乙方保证并承诺，其为签署、履行本协议而向甲方提供的所有证明、文件、资料和信息，均在提供资料的当日和适用</w:t>
      </w:r>
      <w:r>
        <w:rPr>
          <w:rFonts w:asciiTheme="minorEastAsia" w:hAnsiTheme="minorEastAsia" w:eastAsiaTheme="minorEastAsia"/>
          <w:color w:val="000000" w:themeColor="text1"/>
          <w:sz w:val="28"/>
          <w:szCs w:val="28"/>
          <w14:textFill>
            <w14:solidFill>
              <w14:schemeClr w14:val="tx1"/>
            </w14:solidFill>
          </w14:textFill>
        </w:rPr>
        <w:t>/使用期内是真实、准确和完整的，不存在故意隐瞒和欺骗的情况</w:t>
      </w:r>
      <w:r>
        <w:rPr>
          <w:rFonts w:hint="eastAsia" w:asciiTheme="minorEastAsia" w:hAnsiTheme="minorEastAsia" w:eastAsiaTheme="minorEastAsia"/>
          <w:color w:val="000000" w:themeColor="text1"/>
          <w:sz w:val="28"/>
          <w:szCs w:val="28"/>
          <w14:textFill>
            <w14:solidFill>
              <w14:schemeClr w14:val="tx1"/>
            </w14:solidFill>
          </w14:textFill>
        </w:rPr>
        <w:t>。</w:t>
      </w:r>
    </w:p>
    <w:p w14:paraId="72E920EB">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8.2.8</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乙方保证在其取得本协议项下标的债权后，将严格按照中国法律法规许可的方式处置标的债权，不以甲方的名义对外进行追收，并不得采取任何非法形式或损害甲方的利益，若出现违法行为或损害甲方利益等情形，乙方应承担一切法律责任。</w:t>
      </w:r>
    </w:p>
    <w:p w14:paraId="46751CBF">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8.2.9</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乙方进一步向甲方承诺，只要其在本协议项下应向甲方支付的标的债权转让价款（包括因其延期支付而产生的逾期付款违约金）尚未完全付清，乙方须严格履行下述义务：（1）乙方应根据甲方的要求向甲方提供其经营情况报告；（2）如发生针对乙方或与其有关的诉讼、仲裁或争议，而其结果可能严重影响乙方的财务状况、业务经营及支付能力时，乙方应立即通知甲方，并应及时向甲方提供其合理要求的有关诉讼、仲裁或争议的情况、资料。</w:t>
      </w:r>
    </w:p>
    <w:p w14:paraId="371911E8">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8.2.10  乙方保证并承诺若发生标的债权中任何债权的主债务人、担保人、任何第三方针对甲方转让的债权所提起的任何诉讼、仲裁等行为，所有责任和风险由乙方承担。</w:t>
      </w:r>
    </w:p>
    <w:p w14:paraId="14086393">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8.2.11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乙方确认，乙方在对标的债权进行尽职调查的过程中被告知标的债权可能会因国家法律、法规、司法解释的规定存在债权优先购买权人，乙方并充分理解甲方在处置国有企业作为债务人（担保人）的债权过程作出的决策。乙方不可撤销地承诺：如享有标的债权优先购买权的主体行使优先购买权导致本协议被撤销、解除或无效的，甲方无须因此向乙方承担任何的违约责任。如甲方已将标的债权转让给乙方及/或各方已完成标的债权债权文件的交割手续的，在乙方将标的债权按照签署本协议时的状态（包括但不限于标的债权债权文件）返还给甲方后，甲方将向乙方返还已收取的债权转让价款，但该等款项在甲方账户存续期间的利息无需退还。</w:t>
      </w:r>
    </w:p>
    <w:p w14:paraId="5060D7C2">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8.2.12 </w:t>
      </w:r>
      <w:r>
        <w:rPr>
          <w:rFonts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确认其已知悉甲方须遵守中华人民共和国及中华人民共和国认可的组织机构发布的关于定向金融制裁等制裁要求及香港联合交易所关于防范和控制国际制裁风险的要求。在本合同履行期间，乙方承诺自身及关联方不属于联合国及经中国政府认可的组织机构发布的制裁与禁止名单中主体，如因乙方或其关联方、分包商、供应商或其控制范围内主体的行为或状态，导致甲方存在或可能存在违反任何适用制裁法律法规或面临制裁风险的情形，乙方应立即书面通知甲方，并采取一切合理且必要的补救措施，以消除或降低相关制裁风险。如因上述情形导致甲方遭受任何损失、责任或不利后果（包括但不限于罚款、资产冻结、交易限制、声誉损失或合规成本等），乙方应就该等损失向甲方承担赔偿责任。为避免歧义，“制裁”系指由联合国、中国、美国、欧盟、英国或其他适用司法管辖区实施的任何经济制裁或限制性措施。</w:t>
      </w:r>
    </w:p>
    <w:p w14:paraId="7A03E8C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8.2.1</w:t>
      </w:r>
      <w:r>
        <w:rPr>
          <w:rFonts w:hint="eastAsia" w:asciiTheme="minorEastAsia" w:hAnsiTheme="minorEastAsia" w:eastAsiaTheme="minorEastAsia"/>
          <w:color w:val="000000" w:themeColor="text1"/>
          <w:sz w:val="28"/>
          <w:szCs w:val="28"/>
          <w14:textFill>
            <w14:solidFill>
              <w14:schemeClr w14:val="tx1"/>
            </w14:solidFill>
          </w14:textFill>
        </w:rPr>
        <w:t xml:space="preserve">3  </w:t>
      </w:r>
      <w:r>
        <w:rPr>
          <w:rFonts w:asciiTheme="minorEastAsia" w:hAnsiTheme="minorEastAsia" w:eastAsiaTheme="minorEastAsia"/>
          <w:color w:val="000000" w:themeColor="text1"/>
          <w:sz w:val="28"/>
          <w:szCs w:val="28"/>
          <w14:textFill>
            <w14:solidFill>
              <w14:schemeClr w14:val="tx1"/>
            </w14:solidFill>
          </w14:textFill>
        </w:rPr>
        <w:t>乙方将不会采取任何可能导致甲方在本协议项下的权益遭受不利影响、损害、解除或妥协的行为，或</w:t>
      </w:r>
      <w:r>
        <w:rPr>
          <w:rFonts w:hint="eastAsia" w:asciiTheme="minorEastAsia" w:hAnsiTheme="minorEastAsia" w:eastAsiaTheme="minorEastAsia"/>
          <w:color w:val="000000" w:themeColor="text1"/>
          <w:sz w:val="28"/>
          <w:szCs w:val="28"/>
          <w14:textFill>
            <w14:solidFill>
              <w14:schemeClr w14:val="tx1"/>
            </w14:solidFill>
          </w14:textFill>
        </w:rPr>
        <w:t>作出任何其他妨碍或可能妨碍甲方根据本协议的规定行使权利的行为。</w:t>
      </w:r>
    </w:p>
    <w:p w14:paraId="42A7FE05">
      <w:pPr>
        <w:spacing w:line="560" w:lineRule="exact"/>
        <w:ind w:firstLine="573"/>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8.2.14  乙方在得知其违反了其在本协议项下的任何陈述和保证或违反了其本协议项下的任何义务并由此给甲方造成重大不利影响的，应立即通知甲方，并采取相应的补救措施。</w:t>
      </w:r>
    </w:p>
    <w:p w14:paraId="49899F4E">
      <w:pPr>
        <w:spacing w:line="560" w:lineRule="exact"/>
        <w:ind w:firstLine="573"/>
        <w:rPr>
          <w:b/>
          <w:bCs/>
          <w:color w:val="000000" w:themeColor="text1"/>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8.2.15 </w:t>
      </w:r>
      <w:r>
        <w:rPr>
          <w:rFonts w:hint="eastAsia" w:asciiTheme="minorEastAsia" w:hAnsiTheme="minorEastAsia" w:eastAsiaTheme="minorEastAsia"/>
          <w:b/>
          <w:bCs/>
          <w:color w:val="000000" w:themeColor="text1"/>
          <w:kern w:val="0"/>
          <w:sz w:val="28"/>
          <w:szCs w:val="28"/>
          <w14:textFill>
            <w14:solidFill>
              <w14:schemeClr w14:val="tx1"/>
            </w14:solidFill>
          </w14:textFill>
        </w:rPr>
        <w:t xml:space="preserve"> 乙方承诺，甲方在受让标的债权过程中对原债权人所作出的任何声明、承诺等事项在转让后同样对乙方、乙方后手继受方和后续任何其他资产接收方具有约束力，乙方不会向原债权人提出任何权利主张或追索。乙方承诺，乙方将在其与后手继受方签订的相关协议中约定：（1）乙方后手继受方和后续任何资产接收方不能就原债权人已转让给甲方的债权向甲方及原债权人提出任何权利主张及违约责任；（2）乙方后手继受方和后续任何资产接收方若转让资产，将在相关协议中与其他继受方和资产接收方作出同样约定。乙方将遵守上述承诺，以履行原债权人在转让协议中对甲方的约束。</w:t>
      </w:r>
    </w:p>
    <w:p w14:paraId="137293F5">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8.2.16 </w:t>
      </w:r>
      <w:r>
        <w:rPr>
          <w:rFonts w:hint="eastAsia" w:asciiTheme="minorEastAsia" w:hAnsiTheme="minorEastAsia" w:eastAsiaTheme="minorEastAsia"/>
          <w:b/>
          <w:bCs/>
          <w:color w:val="000000" w:themeColor="text1"/>
          <w:kern w:val="0"/>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乙方保证将不会因受让的标的债权而对中国国家及各级政府以及政府部门以任何方式行使追索权（包括但不限于不会按照中国法律有关规定向中国国家及各级政府以及政府部门行使担保权利人的权利）。如乙方日后将标的债权之整体或部分再转让给任何第三方，乙方将确保该受让方作出相同承诺，及保证该等第三方的主体资质符合甲方针对此次标的债权的转让而设定的关于标的债权受让方的主体资质之要求，并要求该等第三方日后如有类似转让行为，其亦应保证下一手的受让方之主体资质符合上述要求，否则，由此导致之任何纠纷、责任概由乙方自行承担。</w:t>
      </w:r>
    </w:p>
    <w:p w14:paraId="171401B0">
      <w:pPr>
        <w:spacing w:line="560" w:lineRule="exact"/>
        <w:ind w:firstLine="560" w:firstLineChars="200"/>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如乙方违反上述约定行使任何针对中国国家及其政府部门的请求权，并导致中国国家及其政府部门败诉，且自中国国家、其政府部门或其他责任主体获得金钱、权益或实物等方面的受偿或赔付，乙方须在获得金钱、权益或实物等方面的受偿或赔付之日起的三个工作日内将其全部取得无条件地全数支付给甲方或甲方指定的其他主体，并按本协议约定承担违约责任。</w:t>
      </w:r>
    </w:p>
    <w:p w14:paraId="39329B4D">
      <w:pPr>
        <w:spacing w:line="560" w:lineRule="exact"/>
        <w:ind w:firstLine="570"/>
        <w:rPr>
          <w:rFonts w:hint="eastAsia" w:asciiTheme="minorEastAsia" w:hAnsiTheme="minorEastAsia" w:eastAsiaTheme="minorEastAsia"/>
          <w:b/>
          <w:bCs/>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8.2.17</w:t>
      </w:r>
      <w:r>
        <w:rPr>
          <w:rFonts w:hint="eastAsia" w:asciiTheme="minorEastAsia" w:hAnsiTheme="minorEastAsia" w:eastAsiaTheme="minorEastAsia"/>
          <w:b/>
          <w:bCs/>
          <w:color w:val="000000" w:themeColor="text1"/>
          <w:kern w:val="0"/>
          <w:sz w:val="28"/>
          <w:szCs w:val="28"/>
          <w14:textFill>
            <w14:solidFill>
              <w14:schemeClr w14:val="tx1"/>
            </w14:solidFill>
          </w14:textFill>
        </w:rPr>
        <w:t xml:space="preserve">  除甲方故意隐瞒、欺诈、伪造而产生的瑕疵外，乙方不得对甲方行使追索权。</w:t>
      </w:r>
    </w:p>
    <w:p w14:paraId="0E681E87">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8.2.18  </w:t>
      </w:r>
      <w:r>
        <w:rPr>
          <w:rFonts w:hint="eastAsia" w:asciiTheme="minorEastAsia" w:hAnsiTheme="minorEastAsia" w:eastAsiaTheme="minorEastAsia"/>
          <w:color w:val="000000" w:themeColor="text1"/>
          <w:sz w:val="28"/>
          <w:szCs w:val="28"/>
          <w14:textFill>
            <w14:solidFill>
              <w14:schemeClr w14:val="tx1"/>
            </w14:solidFill>
          </w14:textFill>
        </w:rPr>
        <w:t>乙方已知悉中华人民共和国反洗钱、反恐怖融资、规避防扩散定向金融制裁（以下统称“反洗钱”）相关法律法规的规定，将严格遵守上述规定，不会违反任何前述规定；不参与涉嫌洗钱、恐怖融资、扩散融资等违法犯罪活动，不涉及反洗钱特别预防措施名单等风险，不得利用甲方业务、款项进行洗钱和恐怖融资等违法犯罪活动。乙方应当依法积极协助并配合甲方开展反洗钱工作，包括配合甲方开展客户尽职调查与受益所有人识别、大额和可疑交易报告、反洗钱特别预防措施名单筛查等，按照甲方要求如实提供包括但不限于乙方及其受益所有人的身份信息及资料、资金来源、交易目的及相关证明文件、财务报表及其他甲方需要的任何资料与信息，并保证所提供给甲方资料及信息的真实、准确及完整。乙方应确保合作期间持续满足甲方反洗钱工作下客户及其受益所有人身份持续识别、风险等级动态评估及反洗钱特别预防措施名单监测的工作需要，及时向甲方提供乙方及其受益所有人信息变更情况。</w:t>
      </w:r>
    </w:p>
    <w:p w14:paraId="09B20BC1">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8.2.19  </w:t>
      </w:r>
      <w:r>
        <w:rPr>
          <w:rFonts w:hint="eastAsia" w:asciiTheme="minorEastAsia" w:hAnsiTheme="minorEastAsia" w:eastAsiaTheme="minorEastAsia"/>
          <w:color w:val="000000" w:themeColor="text1"/>
          <w:sz w:val="28"/>
          <w:szCs w:val="28"/>
          <w14:textFill>
            <w14:solidFill>
              <w14:schemeClr w14:val="tx1"/>
            </w14:solidFill>
          </w14:textFill>
        </w:rPr>
        <w:t xml:space="preserve">乙方承诺，乙方签署本协议及其他交易文件及根据本协议及其他交易文件履行义务或行使权利，均不会与任何可适用的法律、法规、判决、决定、命令、授权或协议冲突或导致对前述的违反，也不会超出对其的任何限制。 </w:t>
      </w:r>
    </w:p>
    <w:p w14:paraId="5E517ED0">
      <w:pPr>
        <w:pStyle w:val="29"/>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8.2.20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承诺，乙方向甲方提供的所有文件、资料、报表和凭证等是真实、准确、完整和有效的，不存在任何误导性陈述、虚假记载或重大遗漏。乙方未隐瞒任何已发生或可能发生的有可能使甲方不同意签署本协议的情况。</w:t>
      </w:r>
    </w:p>
    <w:p w14:paraId="05D8A3F5">
      <w:pPr>
        <w:pStyle w:val="28"/>
        <w:spacing w:before="0" w:after="0" w:line="560" w:lineRule="exact"/>
        <w:ind w:firstLine="562" w:firstLineChars="200"/>
        <w:jc w:val="both"/>
        <w:outlineLvl w:val="0"/>
        <w:rPr>
          <w:rFonts w:hint="eastAsia"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第九条</w:t>
      </w:r>
      <w:bookmarkStart w:id="21" w:name="_Hlt99790446"/>
      <w:bookmarkEnd w:id="21"/>
      <w:bookmarkStart w:id="22" w:name="_Toc100162837"/>
      <w:r>
        <w:rPr>
          <w:rFonts w:hint="eastAsia" w:asciiTheme="minorEastAsia" w:hAnsiTheme="minorEastAsia"/>
          <w:b/>
          <w:color w:val="000000" w:themeColor="text1"/>
          <w:sz w:val="28"/>
          <w:szCs w:val="28"/>
          <w14:textFill>
            <w14:solidFill>
              <w14:schemeClr w14:val="tx1"/>
            </w14:solidFill>
          </w14:textFill>
        </w:rPr>
        <w:t xml:space="preserve">  违约事件与</w:t>
      </w:r>
      <w:r>
        <w:rPr>
          <w:rFonts w:hint="eastAsia" w:asciiTheme="minorEastAsia" w:hAnsiTheme="minorEastAsia"/>
          <w:b/>
          <w:bCs/>
          <w:color w:val="000000" w:themeColor="text1"/>
          <w:sz w:val="28"/>
          <w:szCs w:val="28"/>
          <w14:textFill>
            <w14:solidFill>
              <w14:schemeClr w14:val="tx1"/>
            </w14:solidFill>
          </w14:textFill>
        </w:rPr>
        <w:t>违约</w:t>
      </w:r>
      <w:bookmarkEnd w:id="22"/>
      <w:r>
        <w:rPr>
          <w:rFonts w:hint="eastAsia" w:asciiTheme="minorEastAsia" w:hAnsiTheme="minorEastAsia"/>
          <w:b/>
          <w:bCs/>
          <w:color w:val="000000" w:themeColor="text1"/>
          <w:sz w:val="28"/>
          <w:szCs w:val="28"/>
          <w14:textFill>
            <w14:solidFill>
              <w14:schemeClr w14:val="tx1"/>
            </w14:solidFill>
          </w14:textFill>
        </w:rPr>
        <w:t>责任</w:t>
      </w:r>
    </w:p>
    <w:p w14:paraId="650D6CBF">
      <w:pPr>
        <w:spacing w:line="560" w:lineRule="exact"/>
        <w:ind w:firstLine="56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9.1</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以下事件为违约事件：</w:t>
      </w:r>
    </w:p>
    <w:p w14:paraId="6BBF8692">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9.1.1  甲方或乙方在本协议中作出的任何声明与保证不真实或部分不真实，或违反了任何基于本协议中所作的任何声明、保证或承诺，或违反了任何本协议约定的其须履行的义务；</w:t>
      </w:r>
    </w:p>
    <w:p w14:paraId="413A3563">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9.1.2  乙方未能按照本协议第三条规定的付款期间及金额支付标的债权转让价款；</w:t>
      </w:r>
    </w:p>
    <w:p w14:paraId="5E498FE6">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9.1.3  乙方经营状况严重恶化，使乙方在本协议项下的履约能力已受到实质性不利影响或已不再具备履约能力；或者发生任何针对乙方的诉讼或仲裁（包括但不限于乙方破产、清算），使乙方在本协议项下的履约能力受到实质性影响；</w:t>
      </w:r>
    </w:p>
    <w:p w14:paraId="5813D7EF">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9.1.4  乙方对标的债权进行违法处置，或者恶意地采取不合理的方式进行债权处置，对甲方的合法权益造成实际损害的，包括但不限于以甲方名义实施侵权行为，或者对甲方造成不良社会影响；</w:t>
      </w:r>
    </w:p>
    <w:p w14:paraId="4B75AD7B">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9.1.5  其他任何类似的实质性影响乙方履行本协议项下义务的事件。</w:t>
      </w:r>
    </w:p>
    <w:p w14:paraId="19F8FC1B">
      <w:pPr>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9.2</w:t>
      </w:r>
      <w:r>
        <w:rPr>
          <w:rFonts w:hint="eastAsia" w:asciiTheme="minorEastAsia" w:hAnsiTheme="minorEastAsia" w:eastAsiaTheme="minorEastAsia"/>
          <w:b/>
          <w:color w:val="000000" w:themeColor="text1"/>
          <w:sz w:val="28"/>
          <w:szCs w:val="28"/>
          <w14:textFill>
            <w14:solidFill>
              <w14:schemeClr w14:val="tx1"/>
            </w14:solidFill>
          </w14:textFill>
        </w:rPr>
        <w:t xml:space="preserve">  违约责任</w:t>
      </w:r>
    </w:p>
    <w:p w14:paraId="3DEA69A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9.2.1  本协议任何一方因发生违约事件，应当承担违约责任；造成其他各方损失的，违约方还应赔偿守约方的损失，该等损失包括但不限于：守约方实际损失及预期利益、律师费用、诉讼费用、调查取证费用、交通费用等。</w:t>
      </w:r>
    </w:p>
    <w:p w14:paraId="6C435AFE">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9.2.2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如乙方发生任何违约事件，甲方有权宣布本协议项下一切未到期的支付责任提前到期，乙方应在收到甲方通知之日起三个工作日内履行全部提前到期的支付义务。</w:t>
      </w:r>
    </w:p>
    <w:p w14:paraId="09B70034">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9.2.3  </w:t>
      </w:r>
      <w:r>
        <w:rPr>
          <w:rFonts w:hint="eastAsia" w:asciiTheme="minorEastAsia" w:hAnsiTheme="minorEastAsia" w:eastAsiaTheme="minorEastAsia"/>
          <w:b/>
          <w:bCs/>
          <w:color w:val="000000" w:themeColor="text1"/>
          <w:sz w:val="28"/>
          <w:szCs w:val="28"/>
          <w14:textFill>
            <w14:solidFill>
              <w14:schemeClr w14:val="tx1"/>
            </w14:solidFill>
          </w14:textFill>
        </w:rPr>
        <w:t>如乙方违反其在第8.2条所作的保证与承诺，甲方除可以选择依据前述规定要求乙方承担违约责任、赔偿甲方损失外，亦可选择解除本协议、要求乙方返还标的债权及赔偿甲方损失。</w:t>
      </w:r>
    </w:p>
    <w:p w14:paraId="2FAADCED">
      <w:pPr>
        <w:spacing w:line="560" w:lineRule="exact"/>
        <w:ind w:firstLine="560" w:firstLineChars="200"/>
        <w:rPr>
          <w:b/>
          <w:bCs/>
          <w:color w:val="000000" w:themeColor="text1"/>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9.2.4  </w:t>
      </w:r>
      <w:r>
        <w:rPr>
          <w:rFonts w:hint="eastAsia" w:asciiTheme="minorEastAsia" w:hAnsiTheme="minorEastAsia" w:eastAsiaTheme="minorEastAsia"/>
          <w:b/>
          <w:bCs/>
          <w:color w:val="000000" w:themeColor="text1"/>
          <w:sz w:val="28"/>
          <w:szCs w:val="28"/>
          <w14:textFill>
            <w14:solidFill>
              <w14:schemeClr w14:val="tx1"/>
            </w14:solidFill>
          </w14:textFill>
        </w:rPr>
        <w:t>如因乙方、乙方的后手继受方或后续任何资产接收方违反相关协议约定，向甲方或原债权人提出权利主张或追索，造成甲方损失的，乙方应赔偿甲方全部损失。</w:t>
      </w:r>
    </w:p>
    <w:p w14:paraId="6FFCE64F">
      <w:pPr>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9.2.5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如乙方未依本协议的约定支付标的债权转让价款的，则构成乙方的根本性违约，甲方有权向乙方发出解除本协议的书面通知，并没收乙方的交易保证金（如有）；如果该交易保证金不足以弥补甲方的所有损失，超出部分的损失由乙方予以赔偿。</w:t>
      </w:r>
    </w:p>
    <w:p w14:paraId="4A385DAD">
      <w:pPr>
        <w:spacing w:line="560" w:lineRule="exact"/>
        <w:ind w:firstLine="560" w:firstLineChars="200"/>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9.2.6  </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如乙方违反付款义务，未能按时足额支付相应款项，则</w:t>
      </w:r>
      <w:bookmarkStart w:id="23" w:name="_Ref118455974"/>
      <w:bookmarkStart w:id="24" w:name="_Ref128679105"/>
      <w:r>
        <w:rPr>
          <w:rFonts w:hint="eastAsia" w:asciiTheme="minorEastAsia" w:hAnsiTheme="minorEastAsia" w:eastAsiaTheme="minorEastAsia"/>
          <w:b/>
          <w:bCs/>
          <w:color w:val="000000" w:themeColor="text1"/>
          <w:sz w:val="28"/>
          <w:szCs w:val="28"/>
          <w:highlight w:val="none"/>
          <w14:textFill>
            <w14:solidFill>
              <w14:schemeClr w14:val="tx1"/>
            </w14:solidFill>
          </w14:textFill>
        </w:rPr>
        <w:t>乙方</w:t>
      </w:r>
      <w:r>
        <w:rPr>
          <w:rFonts w:asciiTheme="minorEastAsia" w:hAnsiTheme="minorEastAsia" w:eastAsiaTheme="minorEastAsia"/>
          <w:b/>
          <w:bCs/>
          <w:color w:val="000000" w:themeColor="text1"/>
          <w:sz w:val="28"/>
          <w:szCs w:val="28"/>
          <w:highlight w:val="none"/>
          <w14:textFill>
            <w14:solidFill>
              <w14:schemeClr w14:val="tx1"/>
            </w14:solidFill>
          </w14:textFill>
        </w:rPr>
        <w:t>按应付未付价款</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以</w:t>
      </w:r>
      <w:r>
        <w:rPr>
          <w:rFonts w:hint="eastAsia" w:asciiTheme="minorEastAsia" w:hAnsiTheme="minorEastAsia" w:eastAsiaTheme="minorEastAsia"/>
          <w:b/>
          <w:bCs/>
          <w:color w:val="000000" w:themeColor="text1"/>
          <w:sz w:val="28"/>
          <w:szCs w:val="28"/>
          <w:highlight w:val="none"/>
          <w:lang w:val="en-US" w:eastAsia="zh-CN"/>
          <w14:textFill>
            <w14:solidFill>
              <w14:schemeClr w14:val="tx1"/>
            </w14:solidFill>
          </w14:textFill>
        </w:rPr>
        <w:t>日万分之五的标准</w:t>
      </w:r>
      <w:r>
        <w:rPr>
          <w:rFonts w:asciiTheme="minorEastAsia" w:hAnsiTheme="minorEastAsia" w:eastAsiaTheme="minorEastAsia"/>
          <w:b/>
          <w:bCs/>
          <w:color w:val="000000" w:themeColor="text1"/>
          <w:sz w:val="28"/>
          <w:szCs w:val="28"/>
          <w:highlight w:val="none"/>
          <w14:textFill>
            <w14:solidFill>
              <w14:schemeClr w14:val="tx1"/>
            </w14:solidFill>
          </w14:textFill>
        </w:rPr>
        <w:t>向甲方支付</w:t>
      </w:r>
      <w:r>
        <w:rPr>
          <w:rFonts w:hint="eastAsia" w:asciiTheme="minorEastAsia" w:hAnsiTheme="minorEastAsia" w:eastAsiaTheme="minorEastAsia"/>
          <w:b/>
          <w:bCs/>
          <w:color w:val="000000" w:themeColor="text1"/>
          <w:sz w:val="28"/>
          <w:szCs w:val="28"/>
          <w:highlight w:val="none"/>
          <w14:textFill>
            <w14:solidFill>
              <w14:schemeClr w14:val="tx1"/>
            </w14:solidFill>
          </w14:textFill>
        </w:rPr>
        <w:t>违约</w:t>
      </w:r>
      <w:r>
        <w:rPr>
          <w:rFonts w:asciiTheme="minorEastAsia" w:hAnsiTheme="minorEastAsia" w:eastAsiaTheme="minorEastAsia"/>
          <w:b/>
          <w:bCs/>
          <w:color w:val="000000" w:themeColor="text1"/>
          <w:sz w:val="28"/>
          <w:szCs w:val="28"/>
          <w:highlight w:val="none"/>
          <w14:textFill>
            <w14:solidFill>
              <w14:schemeClr w14:val="tx1"/>
            </w14:solidFill>
          </w14:textFill>
        </w:rPr>
        <w:t>金。</w:t>
      </w:r>
    </w:p>
    <w:p w14:paraId="728F55A7">
      <w:pPr>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9.2.7  如乙方迟延</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7</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日未向甲方足额支付相应款项，甲方有权选择如下一种或几种方式要求乙方承担违约责任：                                                                                                                                                                                                                                                                                                                                                                                                                                                                                   </w:t>
      </w:r>
    </w:p>
    <w:p w14:paraId="403CFD4B">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（1）自</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乙方</w:t>
      </w:r>
      <w:r>
        <w:rPr>
          <w:rFonts w:hint="eastAsia" w:asciiTheme="minorEastAsia" w:hAnsiTheme="minorEastAsia" w:eastAsiaTheme="minorEastAsia"/>
          <w:color w:val="000000" w:themeColor="text1"/>
          <w:sz w:val="28"/>
          <w:szCs w:val="28"/>
          <w:highlight w:val="none"/>
          <w14:textFill>
            <w14:solidFill>
              <w14:schemeClr w14:val="tx1"/>
            </w14:solidFill>
          </w14:textFill>
        </w:rPr>
        <w:t>延期支付之日起</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3</w:t>
      </w:r>
      <w:r>
        <w:rPr>
          <w:rFonts w:hint="eastAsia" w:asciiTheme="minorEastAsia" w:hAnsiTheme="minorEastAsia" w:eastAsiaTheme="minorEastAsia"/>
          <w:color w:val="000000" w:themeColor="text1"/>
          <w:sz w:val="28"/>
          <w:szCs w:val="28"/>
          <w14:textFill>
            <w14:solidFill>
              <w14:schemeClr w14:val="tx1"/>
            </w14:solidFill>
          </w14:textFill>
        </w:rPr>
        <w:t>年内，</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甲方</w:t>
      </w:r>
      <w:r>
        <w:rPr>
          <w:rFonts w:hint="eastAsia" w:asciiTheme="minorEastAsia" w:hAnsiTheme="minorEastAsia" w:eastAsiaTheme="minorEastAsia"/>
          <w:color w:val="000000" w:themeColor="text1"/>
          <w:sz w:val="28"/>
          <w:szCs w:val="28"/>
          <w14:textFill>
            <w14:solidFill>
              <w14:schemeClr w14:val="tx1"/>
            </w14:solidFill>
          </w14:textFill>
        </w:rPr>
        <w:t>有权解除本协议，乙方应向甲方支付相应的违约金，违约金数额为转让价款的20％（不含9.2.6条所述违约金）；如违约金数额不足以弥补甲方的实际损失，甲方有权继续向乙方追索。</w:t>
      </w:r>
    </w:p>
    <w:p w14:paraId="296BB4F2">
      <w:pPr>
        <w:pStyle w:val="8"/>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（2）要求乙方继续履行</w:t>
      </w:r>
      <w:bookmarkEnd w:id="23"/>
      <w:r>
        <w:rPr>
          <w:rFonts w:hint="eastAsia" w:asciiTheme="minorEastAsia" w:hAnsiTheme="minorEastAsia" w:eastAsiaTheme="minorEastAsia"/>
          <w:color w:val="000000" w:themeColor="text1"/>
          <w:sz w:val="28"/>
          <w:szCs w:val="28"/>
          <w14:textFill>
            <w14:solidFill>
              <w14:schemeClr w14:val="tx1"/>
            </w14:solidFill>
          </w14:textFill>
        </w:rPr>
        <w:t>本协议并按第9.2.6条支付违约金。</w:t>
      </w:r>
      <w:bookmarkEnd w:id="24"/>
    </w:p>
    <w:p w14:paraId="5B50FBD3">
      <w:pPr>
        <w:pStyle w:val="8"/>
        <w:tabs>
          <w:tab w:val="left" w:pos="1980"/>
        </w:tabs>
        <w:spacing w:after="0" w:line="560" w:lineRule="exact"/>
        <w:ind w:left="0" w:leftChars="0"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对于乙方已支付的</w:t>
      </w:r>
      <w:r>
        <w:rPr>
          <w:rFonts w:hint="eastAsia" w:asciiTheme="minorEastAsia" w:hAnsiTheme="minorEastAsia" w:eastAsiaTheme="minorEastAsia"/>
          <w:b w:val="0"/>
          <w:bCs w:val="0"/>
          <w:color w:val="000000" w:themeColor="text1"/>
          <w:sz w:val="28"/>
          <w:szCs w:val="28"/>
          <w14:textFill>
            <w14:solidFill>
              <w14:schemeClr w14:val="tx1"/>
            </w14:solidFill>
          </w14:textFill>
        </w:rPr>
        <w:t>款项</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，均不予退还。</w:t>
      </w:r>
    </w:p>
    <w:p w14:paraId="7AD5EBFD">
      <w:pPr>
        <w:pStyle w:val="8"/>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 xml:space="preserve">本协议解除后，甲方有权另行处置债权，若甲方另行处置资产时的处置价格与本次资产转让价格之间的差额及另行处置所产生的费用视为甲方因乙方违约而遭受的实际损失之一。  </w:t>
      </w:r>
    </w:p>
    <w:p w14:paraId="2C340065">
      <w:pPr>
        <w:pStyle w:val="8"/>
        <w:spacing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val="en-US" w:eastAsia="zh-CN"/>
          <w14:textFill>
            <w14:solidFill>
              <w14:schemeClr w14:val="tx1"/>
            </w14:solidFill>
          </w14:textFill>
        </w:rPr>
        <w:t>9.2.8  各方确认，如乙方违反付款义务，甲方有权根据乙方违约情况，单独或同时要求乙方承担本协议项下部分或全部违约责任。</w:t>
      </w:r>
    </w:p>
    <w:p w14:paraId="162DBFD5">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9</w:t>
      </w:r>
      <w:r>
        <w:rPr>
          <w:rFonts w:hint="eastAsia" w:asciiTheme="minorEastAsia" w:hAnsiTheme="minorEastAsia" w:eastAsiaTheme="minorEastAsia"/>
          <w:color w:val="000000" w:themeColor="text1"/>
          <w:sz w:val="28"/>
          <w:szCs w:val="28"/>
          <w14:textFill>
            <w14:solidFill>
              <w14:schemeClr w14:val="tx1"/>
            </w14:solidFill>
          </w14:textFill>
        </w:rPr>
        <w:t xml:space="preserve">  如果乙方违反本协议约定的声明和保证或其它义务，甲方有权选择：</w:t>
      </w:r>
    </w:p>
    <w:p w14:paraId="21263B6C">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（1）全部或部分解除本协议，乙方应按第9.2.7条（1）款的约定向甲方支付违约金。</w:t>
      </w:r>
    </w:p>
    <w:p w14:paraId="220415D6">
      <w:pPr>
        <w:pStyle w:val="8"/>
        <w:spacing w:after="0" w:line="560" w:lineRule="exact"/>
        <w:ind w:left="0" w:leftChars="0"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（2）不解除本协议，要求乙方继续履行本协议并赔偿甲方的实际损失。</w:t>
      </w:r>
    </w:p>
    <w:p w14:paraId="0BFB999E">
      <w:pPr>
        <w:spacing w:line="6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9.3  </w:t>
      </w:r>
      <w:r>
        <w:rPr>
          <w:rFonts w:hint="eastAsia" w:asciiTheme="minorEastAsia" w:hAnsiTheme="minorEastAsia" w:eastAsiaTheme="minorEastAsia"/>
          <w:color w:val="000000" w:themeColor="text1"/>
          <w:sz w:val="28"/>
          <w:szCs w:val="28"/>
          <w:highlight w:val="none"/>
          <w14:textFill>
            <w14:solidFill>
              <w14:schemeClr w14:val="tx1"/>
            </w14:solidFill>
          </w14:textFill>
        </w:rPr>
        <w:t>甲方依照本协议第9条解除协议的，乙方应在甲方向其发出解除通知之日起</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3日</w:t>
      </w:r>
      <w:r>
        <w:rPr>
          <w:rFonts w:hint="eastAsia" w:asciiTheme="minorEastAsia" w:hAnsiTheme="minorEastAsia" w:eastAsiaTheme="minorEastAsia"/>
          <w:color w:val="000000" w:themeColor="text1"/>
          <w:sz w:val="28"/>
          <w:szCs w:val="28"/>
          <w:highlight w:val="none"/>
          <w14:textFill>
            <w14:solidFill>
              <w14:schemeClr w14:val="tx1"/>
            </w14:solidFill>
          </w14:textFill>
        </w:rPr>
        <w:t>内将全部标的债权及相关文件转交至甲方，如果该标的债权转让事项已通知债务人及担保人，则乙方还应该就本协议的解除及转让通知相关的债务人及担保人，并且乙方应当办理与标的债权有关</w:t>
      </w:r>
      <w:r>
        <w:rPr>
          <w:rFonts w:hint="eastAsia" w:asciiTheme="minorEastAsia" w:hAnsiTheme="minorEastAsia" w:eastAsiaTheme="minorEastAsia"/>
          <w:color w:val="000000" w:themeColor="text1"/>
          <w:sz w:val="28"/>
          <w:szCs w:val="28"/>
          <w14:textFill>
            <w14:solidFill>
              <w14:schemeClr w14:val="tx1"/>
            </w14:solidFill>
          </w14:textFill>
        </w:rPr>
        <w:t>的担保权利的变更登记及转移手续，涉及已起诉和执行的资产，还应办理诉讼主体或执行主体的变更手续，由此产生的一切费用由乙方承担。乙方应赔偿甲方因此而遭受的所有损失，并且甲方有权从乙方已支付的债权转让价款中或甲方在本协议签署后所收到的与标的债权有关的款项中扣除乙方应向甲方支付的赔偿款项。</w:t>
      </w:r>
    </w:p>
    <w:p w14:paraId="26D02467">
      <w:pPr>
        <w:spacing w:line="560" w:lineRule="exact"/>
        <w:ind w:firstLine="548" w:firstLineChars="196"/>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9.</w:t>
      </w:r>
      <w:r>
        <w:rPr>
          <w:rFonts w:hint="eastAsia" w:asciiTheme="minorEastAsia" w:hAnsiTheme="minorEastAsia" w:eastAsiaTheme="minorEastAsia"/>
          <w:color w:val="000000" w:themeColor="text1"/>
          <w:sz w:val="28"/>
          <w:szCs w:val="28"/>
          <w14:textFill>
            <w14:solidFill>
              <w14:schemeClr w14:val="tx1"/>
            </w14:solidFill>
          </w14:textFill>
        </w:rPr>
        <w:t>4  本协议第9条约定不因本协议的无效、中止、终止或因其它原因不能进行而丧失法律效力。</w:t>
      </w:r>
    </w:p>
    <w:p w14:paraId="0451EFD6">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9.5  甲方违反本协议项下约定的义务，应承担相应的违约责任。</w:t>
      </w:r>
    </w:p>
    <w:p w14:paraId="36192C4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14:paraId="374ABB8F">
      <w:pPr>
        <w:spacing w:line="560" w:lineRule="exact"/>
        <w:ind w:firstLine="555"/>
        <w:outlineLvl w:val="0"/>
        <w:rPr>
          <w:rFonts w:hint="eastAsia" w:cs="楷体_GB2312"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第十条</w:t>
      </w:r>
      <w:r>
        <w:rPr>
          <w:rFonts w:hint="eastAsia" w:cs="楷体_GB2312" w:asciiTheme="minorEastAsia" w:hAnsiTheme="minorEastAsia" w:eastAsiaTheme="minorEastAsia"/>
          <w:color w:val="000000" w:themeColor="text1"/>
          <w:sz w:val="28"/>
          <w:szCs w:val="28"/>
          <w14:textFill>
            <w14:solidFill>
              <w14:schemeClr w14:val="tx1"/>
            </w14:solidFill>
          </w14:textFill>
        </w:rPr>
        <w:t xml:space="preserve">  </w:t>
      </w:r>
      <w:r>
        <w:rPr>
          <w:rFonts w:hint="eastAsia" w:cs="楷体_GB2312" w:asciiTheme="minorEastAsia" w:hAnsiTheme="minorEastAsia" w:eastAsiaTheme="minorEastAsia"/>
          <w:b/>
          <w:bCs/>
          <w:color w:val="000000" w:themeColor="text1"/>
          <w:sz w:val="28"/>
          <w:szCs w:val="28"/>
          <w14:textFill>
            <w14:solidFill>
              <w14:schemeClr w14:val="tx1"/>
            </w14:solidFill>
          </w14:textFill>
        </w:rPr>
        <w:t>保密</w:t>
      </w:r>
    </w:p>
    <w:p w14:paraId="3BB20FC1">
      <w:pPr>
        <w:spacing w:line="560" w:lineRule="exact"/>
        <w:ind w:firstLine="555"/>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10.1</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保密信息</w:t>
      </w:r>
    </w:p>
    <w:p w14:paraId="1C476ACA">
      <w:pPr>
        <w:pStyle w:val="29"/>
        <w:widowControl w:val="0"/>
        <w:spacing w:line="52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各方同意，除本协议另有约定外，对本协议任何一方（“资料提供方”）提供给本协议其他方（“资料接收方”）的有关本协议项下交易的所有重要信息及本协议所含信息(包括有关定价的信息)予以保密，除根据法律规定，需向相关司法、政府部门披露，以及向服务于本协议项下交易并受保密协议约束的中介机构披露外，未经资料提供方书面同意，不向任何其他方披露此类信息。进行上述披露之前，披露方应通知资料提供方其拟进行披露及拟披露的内容。除各方另有约定外，未经本协议其他各方的事先书面同意，本协议任何一方不得将本协议有关交易情况向新闻媒体予以公开披露或者发表声明。</w:t>
      </w:r>
    </w:p>
    <w:p w14:paraId="07EF0114">
      <w:pPr>
        <w:spacing w:line="560" w:lineRule="exact"/>
        <w:ind w:firstLine="562" w:firstLineChars="200"/>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10.2</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保密义务人</w:t>
      </w:r>
    </w:p>
    <w:p w14:paraId="3DC5CA5B">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各方一致同意，进一步采取所有合理的努力和防范措施，防止其任何关联公司、雇员或任何其他人员以及雇佣的中介机构和企业获得或未经授权使用或披露上述任何保密信息。</w:t>
      </w:r>
    </w:p>
    <w:p w14:paraId="70AE22BC">
      <w:pPr>
        <w:spacing w:line="560" w:lineRule="exact"/>
        <w:ind w:firstLine="562" w:firstLineChars="200"/>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10.3</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保密协议的延续</w:t>
      </w:r>
    </w:p>
    <w:p w14:paraId="58EBD343">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各方一致同意，在签署本协议前各方已签署的保密协议（如有）或乙方出具的保密承诺书均作为本协议的一部分，各方仍应各自继续履行该保密协议或保密承诺书并承担相应的保密责任。</w:t>
      </w:r>
    </w:p>
    <w:p w14:paraId="2B765C34">
      <w:pPr>
        <w:spacing w:line="560" w:lineRule="exact"/>
        <w:ind w:firstLine="562" w:firstLineChars="200"/>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10.4</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保密期限</w:t>
      </w:r>
    </w:p>
    <w:p w14:paraId="386F06E5">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各方一致同意，不论本协议是否变更、中止、解除、终止，本条约定对各方一直具有约束力，除非：有关保密信息的权利人书面同意其他各方解除保密义务；或该等保密信息非由于一方违反本协议的原因已经进入公共领域而为公众所知悉；或乙方已受让该标的债权且已完全履行标的债权转让协议；或有根据法律法规规定可以免除保密义务和责任的情形。</w:t>
      </w:r>
    </w:p>
    <w:p w14:paraId="3F504934">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p>
    <w:p w14:paraId="17353BFA">
      <w:pPr>
        <w:spacing w:line="560" w:lineRule="exact"/>
        <w:ind w:firstLine="562" w:firstLineChars="200"/>
        <w:outlineLvl w:val="0"/>
        <w:rPr>
          <w:rFonts w:hint="eastAsia" w:ascii="宋体" w:hAnsi="宋体"/>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第十一条  通知与送达</w:t>
      </w:r>
    </w:p>
    <w:p w14:paraId="5BF87B58">
      <w:pPr>
        <w:spacing w:line="560" w:lineRule="exact"/>
        <w:ind w:firstLine="562" w:firstLineChars="200"/>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11.1  本协议约定的以下送达地址适用于本协议的相关的各类通知、协议、文书的送达，包括但不限于协议履行期间各类通知、协议等文件的送达，以及协议发生纠纷时相关文件和法律文书的送达，同时包括争议进入民事诉讼程序后一审、二审、再审和执行程序及其他程序中相关文件和法律文书的送达。</w:t>
      </w:r>
    </w:p>
    <w:p w14:paraId="4A64B90E">
      <w:pPr>
        <w:spacing w:line="560" w:lineRule="exact"/>
        <w:ind w:firstLine="450" w:firstLineChars="200"/>
        <w:outlineLvl w:val="1"/>
        <w:rPr>
          <w:rFonts w:hint="eastAsia" w:ascii="宋体" w:hAnsi="宋体"/>
          <w:b/>
          <w:color w:val="000000" w:themeColor="text1"/>
          <w:w w:val="80"/>
          <w:sz w:val="28"/>
          <w:szCs w:val="28"/>
          <w14:textFill>
            <w14:solidFill>
              <w14:schemeClr w14:val="tx1"/>
            </w14:solidFill>
          </w14:textFill>
        </w:rPr>
      </w:pPr>
      <w:r>
        <w:rPr>
          <w:rFonts w:hint="eastAsia" w:ascii="宋体" w:hAnsi="宋体"/>
          <w:b/>
          <w:color w:val="000000" w:themeColor="text1"/>
          <w:w w:val="80"/>
          <w:sz w:val="28"/>
          <w:szCs w:val="28"/>
          <w14:textFill>
            <w14:solidFill>
              <w14:schemeClr w14:val="tx1"/>
            </w14:solidFill>
          </w14:textFill>
        </w:rPr>
        <w:t>（1）甲方确认其有效的送达地址为：(名称、地址、邮编、联系人、联系电话、电子邮箱)</w:t>
      </w:r>
    </w:p>
    <w:p w14:paraId="7278EEAA">
      <w:pPr>
        <w:spacing w:line="560" w:lineRule="exac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_________________________________________________________</w:t>
      </w:r>
      <w:r>
        <w:rPr>
          <w:rFonts w:ascii="宋体" w:hAnsi="宋体"/>
          <w:color w:val="000000" w:themeColor="text1"/>
          <w:sz w:val="28"/>
          <w:szCs w:val="28"/>
          <w14:textFill>
            <w14:solidFill>
              <w14:schemeClr w14:val="tx1"/>
            </w14:solidFill>
          </w14:textFill>
        </w:rPr>
        <w:t xml:space="preserve">                                                                                                                                                    </w:t>
      </w:r>
    </w:p>
    <w:p w14:paraId="5ED0C5EF">
      <w:pPr>
        <w:spacing w:line="560" w:lineRule="exac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__________________________________________________________</w:t>
      </w:r>
      <w:r>
        <w:rPr>
          <w:rFonts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p>
    <w:p w14:paraId="0067AC5B">
      <w:pPr>
        <w:spacing w:line="560" w:lineRule="exact"/>
        <w:ind w:firstLine="450" w:firstLineChars="200"/>
        <w:outlineLvl w:val="1"/>
        <w:rPr>
          <w:rFonts w:hint="eastAsia" w:ascii="宋体" w:hAnsi="宋体"/>
          <w:color w:val="000000" w:themeColor="text1"/>
          <w:sz w:val="28"/>
          <w:szCs w:val="28"/>
          <w:u w:val="single"/>
          <w14:textFill>
            <w14:solidFill>
              <w14:schemeClr w14:val="tx1"/>
            </w14:solidFill>
          </w14:textFill>
        </w:rPr>
      </w:pPr>
      <w:r>
        <w:rPr>
          <w:rFonts w:hint="eastAsia" w:ascii="宋体" w:hAnsi="宋体"/>
          <w:b/>
          <w:color w:val="000000" w:themeColor="text1"/>
          <w:w w:val="80"/>
          <w:sz w:val="28"/>
          <w:szCs w:val="28"/>
          <w14:textFill>
            <w14:solidFill>
              <w14:schemeClr w14:val="tx1"/>
            </w14:solidFill>
          </w14:textFill>
        </w:rPr>
        <w:t xml:space="preserve">（2） 乙方确认其有效的送达地址为：(名称、地址、邮编、联系人、联系电话、电子邮箱)  </w:t>
      </w:r>
      <w:r>
        <w:rPr>
          <w:rFonts w:hint="eastAsia" w:ascii="宋体" w:hAnsi="宋体"/>
          <w:color w:val="000000" w:themeColor="text1"/>
          <w:sz w:val="28"/>
          <w:szCs w:val="28"/>
          <w:u w:val="single"/>
          <w14:textFill>
            <w14:solidFill>
              <w14:schemeClr w14:val="tx1"/>
            </w14:solidFill>
          </w14:textFill>
        </w:rPr>
        <w:t xml:space="preserve">                                                                             </w:t>
      </w:r>
    </w:p>
    <w:p w14:paraId="6A828E93">
      <w:pPr>
        <w:spacing w:line="560" w:lineRule="exac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_________________________________________________________</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 xml:space="preserve">                                                                              </w:t>
      </w:r>
    </w:p>
    <w:p w14:paraId="42800097">
      <w:pPr>
        <w:spacing w:line="560" w:lineRule="exact"/>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_________________________________________________________</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p>
    <w:p w14:paraId="79418E14">
      <w:pPr>
        <w:spacing w:line="560" w:lineRule="exact"/>
        <w:ind w:firstLine="562" w:firstLineChars="200"/>
        <w:rPr>
          <w:rFonts w:hint="eastAsia" w:ascii="宋体" w:hAnsi="宋体"/>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11.2  一方需变更本协议确认的送达地址的，应及时通过邮寄方式(快递或EMS)通知协议其他方；</w:t>
      </w:r>
      <w:r>
        <w:rPr>
          <w:rFonts w:hint="eastAsia" w:ascii="宋体" w:hAnsi="宋体"/>
          <w:color w:val="000000" w:themeColor="text1"/>
          <w:sz w:val="28"/>
          <w:szCs w:val="28"/>
          <w14:textFill>
            <w14:solidFill>
              <w14:schemeClr w14:val="tx1"/>
            </w14:solidFill>
          </w14:textFill>
        </w:rPr>
        <w:t>一方在协议争议阶段或协议争议进入执行阶段变更本协议确认的送达地址的，应向法院履行送达地址变更通知义务。</w:t>
      </w:r>
    </w:p>
    <w:p w14:paraId="1E6339A7">
      <w:pPr>
        <w:spacing w:line="560" w:lineRule="exact"/>
        <w:ind w:firstLine="562" w:firstLineChars="200"/>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11.3  一方按第11.2条所述方式履行变更通知义务后，以其变更后的送达地址为有效送达地址，否则本协议确认的送达地址仍为有效送达地址。</w:t>
      </w:r>
    </w:p>
    <w:p w14:paraId="46DACD77">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  除本协议另有约定外，一方发送的通知在发生下列事件时被视为有效送达：</w:t>
      </w:r>
    </w:p>
    <w:p w14:paraId="66A3F08E">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11.4.1  通过专人递送的，在送达收件人时；</w:t>
      </w:r>
    </w:p>
    <w:p w14:paraId="2EA0E436">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11.4.2  以邮资预付的挂号信或登记邮件形式（要求有查收回执）发送的，在送达邮寄地址时；</w:t>
      </w:r>
    </w:p>
    <w:p w14:paraId="6EFE24A8">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11.4.3  以电邮方式发送的，在电邮发出时。</w:t>
      </w:r>
    </w:p>
    <w:p w14:paraId="1B6C0122">
      <w:pPr>
        <w:spacing w:line="560" w:lineRule="exact"/>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11.5  因任何一方提供或确认的地址不准确、送达地址变更后未及时按第11.2条所述方式履行通知义务、该方或有权签收人拒绝签收或不自取等非寄件人原因，导致协议、通知、函件、法律文书等各类文件未能被该方实际接收的，邮寄送达的，以文件退回之日为送达之日；邮寄的文件被他人代收的，代收人签收之日视为送达之日；直接送达的，以送达人当场在送达回证上记明情况之日为送达之日。 </w:t>
      </w:r>
    </w:p>
    <w:p w14:paraId="362619CF">
      <w:pPr>
        <w:spacing w:line="560" w:lineRule="exact"/>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11.6  法院</w:t>
      </w:r>
      <w:r>
        <w:rPr>
          <w:rFonts w:hint="eastAsia" w:ascii="宋体" w:hAnsi="宋体" w:cs="宋体"/>
          <w:color w:val="000000" w:themeColor="text1"/>
          <w:sz w:val="28"/>
          <w:szCs w:val="28"/>
          <w14:textFill>
            <w14:solidFill>
              <w14:schemeClr w14:val="tx1"/>
            </w14:solidFill>
          </w14:textFill>
        </w:rPr>
        <w:t>或公证机构</w:t>
      </w:r>
      <w:r>
        <w:rPr>
          <w:rFonts w:hint="eastAsia" w:ascii="宋体" w:hAnsi="宋体"/>
          <w:color w:val="000000" w:themeColor="text1"/>
          <w:sz w:val="28"/>
          <w:szCs w:val="28"/>
          <w14:textFill>
            <w14:solidFill>
              <w14:schemeClr w14:val="tx1"/>
            </w14:solidFill>
          </w14:textFill>
        </w:rPr>
        <w:t>可直接邮寄送达至本协议确认的送达地址，即使当事人未能收到法院</w:t>
      </w:r>
      <w:r>
        <w:rPr>
          <w:rFonts w:hint="eastAsia" w:ascii="宋体" w:hAnsi="宋体" w:cs="宋体"/>
          <w:color w:val="000000" w:themeColor="text1"/>
          <w:sz w:val="28"/>
          <w:szCs w:val="28"/>
          <w14:textFill>
            <w14:solidFill>
              <w14:schemeClr w14:val="tx1"/>
            </w14:solidFill>
          </w14:textFill>
        </w:rPr>
        <w:t>或公证机构</w:t>
      </w:r>
      <w:r>
        <w:rPr>
          <w:rFonts w:hint="eastAsia" w:ascii="宋体" w:hAnsi="宋体"/>
          <w:color w:val="000000" w:themeColor="text1"/>
          <w:sz w:val="28"/>
          <w:szCs w:val="28"/>
          <w14:textFill>
            <w14:solidFill>
              <w14:schemeClr w14:val="tx1"/>
            </w14:solidFill>
          </w14:textFill>
        </w:rPr>
        <w:t>邮寄送达的文书，由于本协议约定，也视为送达。</w:t>
      </w:r>
    </w:p>
    <w:p w14:paraId="268DC134">
      <w:pPr>
        <w:pStyle w:val="2"/>
        <w:numPr>
          <w:ilvl w:val="0"/>
          <w:numId w:val="0"/>
        </w:numPr>
        <w:tabs>
          <w:tab w:val="clear" w:pos="720"/>
        </w:tabs>
        <w:spacing w:after="0" w:line="240" w:lineRule="auto"/>
        <w:ind w:firstLine="562" w:firstLineChars="200"/>
        <w:rPr>
          <w:rFonts w:hint="eastAsia" w:ascii="宋体" w:hAnsi="宋体" w:cs="宋体"/>
          <w:color w:val="000000" w:themeColor="text1"/>
          <w:sz w:val="28"/>
          <w:szCs w:val="28"/>
          <w14:textFill>
            <w14:solidFill>
              <w14:schemeClr w14:val="tx1"/>
            </w14:solidFill>
          </w14:textFill>
        </w:rPr>
      </w:pPr>
    </w:p>
    <w:p w14:paraId="5372BE33">
      <w:pPr>
        <w:pStyle w:val="2"/>
        <w:numPr>
          <w:ilvl w:val="0"/>
          <w:numId w:val="0"/>
        </w:numPr>
        <w:tabs>
          <w:tab w:val="clear" w:pos="720"/>
        </w:tabs>
        <w:spacing w:after="0" w:line="240" w:lineRule="auto"/>
        <w:ind w:firstLine="562"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第</w:t>
      </w:r>
      <w:r>
        <w:rPr>
          <w:rFonts w:hint="eastAsia" w:ascii="宋体" w:hAnsi="宋体" w:cs="宋体"/>
          <w:color w:val="000000" w:themeColor="text1"/>
          <w:sz w:val="28"/>
          <w:szCs w:val="28"/>
          <w:lang w:eastAsia="zh-CN"/>
          <w14:textFill>
            <w14:solidFill>
              <w14:schemeClr w14:val="tx1"/>
            </w14:solidFill>
          </w14:textFill>
        </w:rPr>
        <w:t>十二</w:t>
      </w:r>
      <w:r>
        <w:rPr>
          <w:rFonts w:hint="eastAsia" w:ascii="宋体" w:hAnsi="宋体" w:cs="宋体"/>
          <w:color w:val="000000" w:themeColor="text1"/>
          <w:sz w:val="28"/>
          <w:szCs w:val="28"/>
          <w14:textFill>
            <w14:solidFill>
              <w14:schemeClr w14:val="tx1"/>
            </w14:solidFill>
          </w14:textFill>
        </w:rPr>
        <w:t>条</w:t>
      </w:r>
      <w:r>
        <w:rPr>
          <w:rFonts w:hint="eastAsia" w:ascii="宋体" w:hAnsi="宋体" w:cs="宋体"/>
          <w:color w:val="000000" w:themeColor="text1"/>
          <w:sz w:val="28"/>
          <w:szCs w:val="28"/>
          <w:lang w:eastAsia="zh-CN"/>
          <w14:textFill>
            <w14:solidFill>
              <w14:schemeClr w14:val="tx1"/>
            </w14:solidFill>
          </w14:textFill>
        </w:rPr>
        <w:t xml:space="preserve"> </w:t>
      </w:r>
      <w:r>
        <w:rPr>
          <w:rFonts w:hint="eastAsia" w:ascii="宋体" w:hAnsi="宋体" w:cs="宋体"/>
          <w:color w:val="000000" w:themeColor="text1"/>
          <w:sz w:val="28"/>
          <w:szCs w:val="28"/>
          <w:lang w:val="en-US" w:eastAsia="zh-CN"/>
          <w14:textFill>
            <w14:solidFill>
              <w14:schemeClr w14:val="tx1"/>
            </w14:solidFill>
          </w14:textFill>
        </w:rPr>
        <w:t xml:space="preserve"> </w:t>
      </w:r>
      <w:r>
        <w:rPr>
          <w:rFonts w:hint="eastAsia" w:ascii="宋体" w:hAnsi="宋体" w:cs="宋体"/>
          <w:color w:val="000000" w:themeColor="text1"/>
          <w:sz w:val="28"/>
          <w:szCs w:val="28"/>
          <w14:textFill>
            <w14:solidFill>
              <w14:schemeClr w14:val="tx1"/>
            </w14:solidFill>
          </w14:textFill>
        </w:rPr>
        <w:t>反商业贿赂条款</w:t>
      </w:r>
    </w:p>
    <w:p w14:paraId="35E9DEA1">
      <w:pPr>
        <w:spacing w:line="560" w:lineRule="exact"/>
        <w:ind w:firstLine="560" w:firstLineChars="200"/>
        <w:rPr>
          <w:rFonts w:hint="eastAsia" w:ascii="宋体" w:hAnsi="宋体"/>
          <w:color w:val="000000" w:themeColor="text1"/>
          <w:sz w:val="28"/>
          <w:szCs w:val="28"/>
          <w:lang w:eastAsia="zh-CN"/>
          <w14:textFill>
            <w14:solidFill>
              <w14:schemeClr w14:val="tx1"/>
            </w14:solidFill>
          </w14:textFill>
        </w:rPr>
      </w:pPr>
      <w:r>
        <w:rPr>
          <w:rFonts w:hint="eastAsia" w:ascii="宋体" w:hAnsi="宋体"/>
          <w:color w:val="000000" w:themeColor="text1"/>
          <w:sz w:val="28"/>
          <w:szCs w:val="28"/>
          <w:lang w:eastAsia="zh-CN"/>
          <w14:textFill>
            <w14:solidFill>
              <w14:schemeClr w14:val="tx1"/>
            </w14:solidFill>
          </w14:textFill>
        </w:rPr>
        <w:t>各方</w:t>
      </w:r>
      <w:r>
        <w:rPr>
          <w:rFonts w:hint="eastAsia" w:ascii="宋体" w:hAnsi="宋体"/>
          <w:color w:val="000000" w:themeColor="text1"/>
          <w:sz w:val="28"/>
          <w:szCs w:val="28"/>
          <w14:textFill>
            <w14:solidFill>
              <w14:schemeClr w14:val="tx1"/>
            </w14:solidFill>
          </w14:textFill>
        </w:rPr>
        <w:t>均清楚并愿意严格遵守中华人民共和国反商业贿赂相关法律法规的规定，</w:t>
      </w:r>
      <w:r>
        <w:rPr>
          <w:rFonts w:hint="eastAsia" w:ascii="宋体" w:hAnsi="宋体"/>
          <w:color w:val="000000" w:themeColor="text1"/>
          <w:sz w:val="28"/>
          <w:szCs w:val="28"/>
          <w:lang w:val="en-US" w:eastAsia="zh-CN"/>
          <w14:textFill>
            <w14:solidFill>
              <w14:schemeClr w14:val="tx1"/>
            </w14:solidFill>
          </w14:textFill>
        </w:rPr>
        <w:t>各方</w:t>
      </w:r>
      <w:r>
        <w:rPr>
          <w:rFonts w:hint="eastAsia" w:ascii="宋体" w:hAnsi="宋体"/>
          <w:color w:val="000000" w:themeColor="text1"/>
          <w:sz w:val="28"/>
          <w:szCs w:val="28"/>
          <w14:textFill>
            <w14:solidFill>
              <w14:schemeClr w14:val="tx1"/>
            </w14:solidFill>
          </w14:textFill>
        </w:rPr>
        <w:t>均清楚任何形式的贿赂和贪渎行为都将触犯法律，并将受到法律的严惩。任何一方均不得向其他方或其他方经办人或其他相关人员索要、收受、提供、给予协议约定外的任何利益，包括但不限于明扣、暗扣、现金、购物卡、实物、有价证券、旅游或其他非物质性利益等</w:t>
      </w:r>
      <w:r>
        <w:rPr>
          <w:rFonts w:hint="eastAsia" w:ascii="宋体" w:hAnsi="宋体"/>
          <w:color w:val="000000" w:themeColor="text1"/>
          <w:sz w:val="28"/>
          <w:szCs w:val="28"/>
          <w:lang w:eastAsia="zh-CN"/>
          <w14:textFill>
            <w14:solidFill>
              <w14:schemeClr w14:val="tx1"/>
            </w14:solidFill>
          </w14:textFill>
        </w:rPr>
        <w:t>。</w:t>
      </w:r>
    </w:p>
    <w:p w14:paraId="34C351B2">
      <w:pPr>
        <w:pStyle w:val="2"/>
        <w:numPr>
          <w:ilvl w:val="-1"/>
          <w:numId w:val="0"/>
        </w:numPr>
        <w:tabs>
          <w:tab w:val="clear" w:pos="1260"/>
        </w:tabs>
        <w:ind w:left="0"/>
        <w:rPr>
          <w:rFonts w:hint="eastAsia"/>
          <w:lang w:eastAsia="zh-CN"/>
        </w:rPr>
      </w:pPr>
    </w:p>
    <w:p w14:paraId="7050D522">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第十三条 其他</w:t>
      </w:r>
    </w:p>
    <w:p w14:paraId="7D34EEA4">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13.1  如果本协议中任何条款、承诺、条件或规定由于无论何种原因成为不合法的、无效的或不可执行，且该等不合法、无效或不可执行并不影响本协议的其他部分，本协议所有其他部分仍应是有效的、可执行的，并具有充分效力。本协议及相关法律文件的变更、解除、终止或无效，不影响本协议或相关法律文件中有关违约责任、赔偿损失、争议解决方式条款的效力。</w:t>
      </w:r>
    </w:p>
    <w:p w14:paraId="756D02D1">
      <w:pPr>
        <w:pStyle w:val="28"/>
        <w:spacing w:before="0" w:after="0" w:line="560" w:lineRule="exact"/>
        <w:ind w:firstLine="560"/>
        <w:jc w:val="both"/>
        <w:rPr>
          <w:rFonts w:hint="eastAsia" w:cs="Times New Roman" w:asciiTheme="minorEastAsia" w:hAnsiTheme="minorEastAsia"/>
          <w:color w:val="000000" w:themeColor="text1"/>
          <w:kern w:val="2"/>
          <w:sz w:val="28"/>
          <w:szCs w:val="28"/>
          <w14:textFill>
            <w14:solidFill>
              <w14:schemeClr w14:val="tx1"/>
            </w14:solidFill>
          </w14:textFill>
        </w:rPr>
      </w:pPr>
      <w:r>
        <w:rPr>
          <w:rFonts w:cs="Times New Roman" w:asciiTheme="minorEastAsia" w:hAnsiTheme="minorEastAsia"/>
          <w:color w:val="000000" w:themeColor="text1"/>
          <w:kern w:val="2"/>
          <w:sz w:val="28"/>
          <w:szCs w:val="28"/>
          <w14:textFill>
            <w14:solidFill>
              <w14:schemeClr w14:val="tx1"/>
            </w14:solidFill>
          </w14:textFill>
        </w:rPr>
        <w:t>1</w:t>
      </w:r>
      <w:r>
        <w:rPr>
          <w:rFonts w:hint="eastAsia" w:cs="Times New Roman" w:asciiTheme="minorEastAsia" w:hAnsiTheme="minorEastAsia"/>
          <w:color w:val="000000" w:themeColor="text1"/>
          <w:kern w:val="2"/>
          <w:sz w:val="28"/>
          <w:szCs w:val="28"/>
          <w14:textFill>
            <w14:solidFill>
              <w14:schemeClr w14:val="tx1"/>
            </w14:solidFill>
          </w14:textFill>
        </w:rPr>
        <w:t>3</w:t>
      </w:r>
      <w:r>
        <w:rPr>
          <w:rFonts w:cs="Times New Roman" w:asciiTheme="minorEastAsia" w:hAnsiTheme="minorEastAsia"/>
          <w:color w:val="000000" w:themeColor="text1"/>
          <w:kern w:val="2"/>
          <w:sz w:val="28"/>
          <w:szCs w:val="28"/>
          <w14:textFill>
            <w14:solidFill>
              <w14:schemeClr w14:val="tx1"/>
            </w14:solidFill>
          </w14:textFill>
        </w:rPr>
        <w:t>.2</w:t>
      </w:r>
      <w:r>
        <w:rPr>
          <w:rFonts w:hint="eastAsia" w:cs="Times New Roman" w:asciiTheme="minorEastAsia" w:hAnsiTheme="minorEastAsia"/>
          <w:color w:val="000000" w:themeColor="text1"/>
          <w:kern w:val="2"/>
          <w:sz w:val="28"/>
          <w:szCs w:val="28"/>
          <w14:textFill>
            <w14:solidFill>
              <w14:schemeClr w14:val="tx1"/>
            </w14:solidFill>
          </w14:textFill>
        </w:rPr>
        <w:t xml:space="preserve">  </w:t>
      </w:r>
      <w:r>
        <w:rPr>
          <w:rFonts w:hint="eastAsia" w:asciiTheme="minorEastAsia" w:hAnsiTheme="minorEastAsia"/>
          <w:color w:val="000000" w:themeColor="text1"/>
          <w:kern w:val="2"/>
          <w:sz w:val="28"/>
          <w:szCs w:val="28"/>
          <w14:textFill>
            <w14:solidFill>
              <w14:schemeClr w14:val="tx1"/>
            </w14:solidFill>
          </w14:textFill>
        </w:rPr>
        <w:t>协议各方确认本协议构成各方就协议主题事宜达成的最终的、唯一的协议，除以书面方式明确指明优先于本协议的情况外，在此之前的所有约定，无论是口头的，还是书面的，如果与本协议条款和条件存在冲突，以本协议为准。</w:t>
      </w:r>
    </w:p>
    <w:p w14:paraId="0C77792E">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sz w:val="28"/>
          <w:szCs w:val="28"/>
          <w14:textFill>
            <w14:solidFill>
              <w14:schemeClr w14:val="tx1"/>
            </w14:solidFill>
          </w14:textFill>
        </w:rPr>
        <w:t>3</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 xml:space="preserve">3  </w:t>
      </w:r>
      <w:r>
        <w:rPr>
          <w:rFonts w:hint="eastAsia" w:asciiTheme="minorEastAsia" w:hAnsiTheme="minorEastAsia"/>
          <w:color w:val="000000" w:themeColor="text1"/>
          <w:sz w:val="28"/>
          <w:szCs w:val="28"/>
          <w14:textFill>
            <w14:solidFill>
              <w14:schemeClr w14:val="tx1"/>
            </w14:solidFill>
          </w14:textFill>
        </w:rPr>
        <w:t>本协议按照中华人民共和国法律解释，并依据其确定本协议项下各方的权利和义务。</w:t>
      </w:r>
    </w:p>
    <w:p w14:paraId="74D0A317">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sz w:val="28"/>
          <w:szCs w:val="28"/>
          <w14:textFill>
            <w14:solidFill>
              <w14:schemeClr w14:val="tx1"/>
            </w14:solidFill>
          </w14:textFill>
        </w:rPr>
        <w:t>3</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4  因本协议或与本协议有关而产生的任何争议，各方应首先通过友好协商解决争议，协商不成的，可向甲方所在地有管辖权的人民法院提起诉讼。</w:t>
      </w:r>
    </w:p>
    <w:p w14:paraId="75B9907E">
      <w:pPr>
        <w:spacing w:line="560" w:lineRule="exact"/>
        <w:ind w:firstLine="560" w:firstLineChars="200"/>
        <w:rPr>
          <w:rFonts w:hint="eastAsia"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13.5  本协议由各方有权人签名或盖章并加盖公章之日起生效。</w:t>
      </w:r>
    </w:p>
    <w:p w14:paraId="2641F3F3">
      <w:pPr>
        <w:pStyle w:val="29"/>
        <w:widowControl w:val="0"/>
        <w:spacing w:line="520" w:lineRule="exact"/>
        <w:ind w:firstLine="560" w:firstLineChars="200"/>
        <w:rPr>
          <w:rFonts w:hint="eastAsia" w:asciiTheme="minorEastAsia" w:hAnsiTheme="minorEastAsia" w:eastAsiaTheme="minorEastAsia" w:cstheme="minorEastAsia"/>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Cs/>
          <w:color w:val="000000" w:themeColor="text1"/>
          <w:sz w:val="28"/>
          <w:szCs w:val="28"/>
          <w14:textFill>
            <w14:solidFill>
              <w14:schemeClr w14:val="tx1"/>
            </w14:solidFill>
          </w14:textFill>
        </w:rPr>
        <w:t>13.6</w:t>
      </w:r>
      <w:r>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14:textFill>
            <w14:solidFill>
              <w14:schemeClr w14:val="tx1"/>
            </w14:solidFill>
          </w14:textFill>
        </w:rPr>
        <w:t>凡与本协议有关的任何费用，包括但不限于管理、处置、公证、登记、保险、维修、保养、拍卖、变卖、过户、鉴定、评估、保管、差旅、送达等费用均由</w:t>
      </w:r>
      <w:r>
        <w:rPr>
          <w:rFonts w:hint="eastAsia" w:asciiTheme="minorEastAsia" w:hAnsiTheme="minorEastAsia" w:eastAsiaTheme="minorEastAsia"/>
          <w:b/>
          <w:color w:val="000000" w:themeColor="text1"/>
          <w:sz w:val="28"/>
          <w:szCs w:val="28"/>
          <w14:textFill>
            <w14:solidFill>
              <w14:schemeClr w14:val="tx1"/>
            </w14:solidFill>
          </w14:textFill>
        </w:rPr>
        <w:t>乙方</w:t>
      </w:r>
      <w:r>
        <w:rPr>
          <w:rFonts w:hint="eastAsia" w:asciiTheme="minorEastAsia" w:hAnsiTheme="minorEastAsia" w:eastAsiaTheme="minorEastAsia" w:cstheme="minorEastAsia"/>
          <w:b/>
          <w:color w:val="000000" w:themeColor="text1"/>
          <w:sz w:val="28"/>
          <w:szCs w:val="28"/>
          <w14:textFill>
            <w14:solidFill>
              <w14:schemeClr w14:val="tx1"/>
            </w14:solidFill>
          </w14:textFill>
        </w:rPr>
        <w:t>负担。</w:t>
      </w:r>
    </w:p>
    <w:p w14:paraId="7B48161B">
      <w:pPr>
        <w:pStyle w:val="29"/>
        <w:spacing w:line="520" w:lineRule="exact"/>
        <w:ind w:firstLine="560" w:firstLineChars="200"/>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Cs/>
          <w:color w:val="000000" w:themeColor="text1"/>
          <w:sz w:val="28"/>
          <w:szCs w:val="28"/>
          <w14:textFill>
            <w14:solidFill>
              <w14:schemeClr w14:val="tx1"/>
            </w14:solidFill>
          </w14:textFill>
        </w:rPr>
        <w:t>13.7</w:t>
      </w:r>
      <w:r>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14:textFill>
            <w14:solidFill>
              <w14:schemeClr w14:val="tx1"/>
            </w14:solidFill>
          </w14:textFill>
        </w:rPr>
        <w:t>除法律规定或当事人另有约定外，因本协议订立、履行及争议解决发生的费用（包括但不限于诉讼、保全、</w:t>
      </w:r>
      <w:r>
        <w:rPr>
          <w:rFonts w:hint="eastAsia" w:asciiTheme="minorEastAsia" w:hAnsiTheme="minorEastAsia" w:eastAsiaTheme="minorEastAsia" w:cstheme="minorEastAsia"/>
          <w:b/>
          <w:color w:val="000000" w:themeColor="text1"/>
          <w:sz w:val="28"/>
          <w:szCs w:val="28"/>
          <w:lang w:eastAsia="zh-CN"/>
          <w14:textFill>
            <w14:solidFill>
              <w14:schemeClr w14:val="tx1"/>
            </w14:solidFill>
          </w14:textFill>
        </w:rPr>
        <w:t>保全保险、鉴定、</w:t>
      </w:r>
      <w:r>
        <w:rPr>
          <w:rFonts w:hint="eastAsia" w:asciiTheme="minorEastAsia" w:hAnsiTheme="minorEastAsia" w:eastAsiaTheme="minorEastAsia" w:cstheme="minorEastAsia"/>
          <w:b/>
          <w:color w:val="000000" w:themeColor="text1"/>
          <w:sz w:val="28"/>
          <w:szCs w:val="28"/>
          <w14:textFill>
            <w14:solidFill>
              <w14:schemeClr w14:val="tx1"/>
            </w14:solidFill>
          </w14:textFill>
        </w:rPr>
        <w:t>律师费用等）由</w:t>
      </w:r>
      <w:r>
        <w:rPr>
          <w:rFonts w:hint="eastAsia" w:asciiTheme="minorEastAsia" w:hAnsiTheme="minorEastAsia" w:eastAsiaTheme="minorEastAsia"/>
          <w:b/>
          <w:color w:val="000000" w:themeColor="text1"/>
          <w:sz w:val="28"/>
          <w:szCs w:val="28"/>
          <w14:textFill>
            <w14:solidFill>
              <w14:schemeClr w14:val="tx1"/>
            </w14:solidFill>
          </w14:textFill>
        </w:rPr>
        <w:t>乙方</w:t>
      </w:r>
      <w:r>
        <w:rPr>
          <w:rFonts w:hint="eastAsia" w:asciiTheme="minorEastAsia" w:hAnsiTheme="minorEastAsia" w:eastAsiaTheme="minorEastAsia" w:cstheme="minorEastAsia"/>
          <w:b/>
          <w:color w:val="000000" w:themeColor="text1"/>
          <w:sz w:val="28"/>
          <w:szCs w:val="28"/>
          <w14:textFill>
            <w14:solidFill>
              <w14:schemeClr w14:val="tx1"/>
            </w14:solidFill>
          </w14:textFill>
        </w:rPr>
        <w:t>承担。</w:t>
      </w:r>
    </w:p>
    <w:p w14:paraId="4E293386">
      <w:pPr>
        <w:pStyle w:val="29"/>
        <w:spacing w:line="520" w:lineRule="exact"/>
        <w:ind w:firstLine="560" w:firstLineChars="2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13.8  甲方</w:t>
      </w:r>
      <w:r>
        <w:rPr>
          <w:rFonts w:hint="eastAsia" w:ascii="宋体" w:hAnsi="宋体" w:cs="宋体"/>
          <w:bCs/>
          <w:color w:val="000000" w:themeColor="text1"/>
          <w:sz w:val="28"/>
          <w:szCs w:val="28"/>
          <w14:textFill>
            <w14:solidFill>
              <w14:schemeClr w14:val="tx1"/>
            </w14:solidFill>
          </w14:textFill>
        </w:rPr>
        <w:t>在本协议项下的权利是累加的，并不影响和排除</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根据法律和其它协议对</w:t>
      </w:r>
      <w:r>
        <w:rPr>
          <w:rFonts w:hint="eastAsia" w:ascii="宋体" w:hAnsi="宋体" w:cs="宋体"/>
          <w:bCs/>
          <w:color w:val="000000" w:themeColor="text1"/>
          <w:sz w:val="28"/>
          <w:szCs w:val="28"/>
          <w:lang w:val="en-US" w:eastAsia="zh-CN"/>
          <w14:textFill>
            <w14:solidFill>
              <w14:schemeClr w14:val="tx1"/>
            </w14:solidFill>
          </w14:textFill>
        </w:rPr>
        <w:t>乙方</w:t>
      </w:r>
      <w:r>
        <w:rPr>
          <w:rFonts w:hint="eastAsia" w:ascii="宋体" w:hAnsi="宋体" w:cs="宋体"/>
          <w:bCs/>
          <w:color w:val="000000" w:themeColor="text1"/>
          <w:sz w:val="28"/>
          <w:szCs w:val="28"/>
          <w14:textFill>
            <w14:solidFill>
              <w14:schemeClr w14:val="tx1"/>
            </w14:solidFill>
          </w14:textFill>
        </w:rPr>
        <w:t>所可以享有的任何权利。除非</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书面表示，</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对其任何权利的不行使、部分行使和/或延迟行使，均不构成对该权利的放弃或部分放弃，也不影响、阻止和妨碍</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对该权利的继续行使或对其任何其它权利的行使。也不因此导致</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对</w:t>
      </w:r>
      <w:r>
        <w:rPr>
          <w:rFonts w:hint="eastAsia" w:ascii="宋体" w:hAnsi="宋体" w:cs="宋体"/>
          <w:bCs/>
          <w:color w:val="000000" w:themeColor="text1"/>
          <w:sz w:val="28"/>
          <w:szCs w:val="28"/>
          <w:lang w:val="en-US" w:eastAsia="zh-CN"/>
          <w14:textFill>
            <w14:solidFill>
              <w14:schemeClr w14:val="tx1"/>
            </w14:solidFill>
          </w14:textFill>
        </w:rPr>
        <w:t>乙方</w:t>
      </w:r>
      <w:r>
        <w:rPr>
          <w:rFonts w:hint="eastAsia" w:ascii="宋体" w:hAnsi="宋体" w:cs="宋体"/>
          <w:bCs/>
          <w:color w:val="000000" w:themeColor="text1"/>
          <w:sz w:val="28"/>
          <w:szCs w:val="28"/>
          <w14:textFill>
            <w14:solidFill>
              <w14:schemeClr w14:val="tx1"/>
            </w14:solidFill>
          </w14:textFill>
        </w:rPr>
        <w:t>承担义务和责任。</w:t>
      </w:r>
    </w:p>
    <w:p w14:paraId="503F8D7F">
      <w:pPr>
        <w:pStyle w:val="29"/>
        <w:spacing w:line="520" w:lineRule="exact"/>
        <w:ind w:firstLine="560" w:firstLineChars="200"/>
      </w:pPr>
      <w:r>
        <w:rPr>
          <w:rFonts w:hint="eastAsia" w:ascii="宋体" w:hAnsi="宋体" w:cs="宋体"/>
          <w:bCs/>
          <w:color w:val="000000" w:themeColor="text1"/>
          <w:sz w:val="28"/>
          <w:szCs w:val="28"/>
          <w:lang w:val="en-US" w:eastAsia="zh-CN"/>
          <w14:textFill>
            <w14:solidFill>
              <w14:schemeClr w14:val="tx1"/>
            </w14:solidFill>
          </w14:textFill>
        </w:rPr>
        <w:t xml:space="preserve">13.9  </w:t>
      </w:r>
      <w:r>
        <w:rPr>
          <w:rFonts w:hint="eastAsia" w:ascii="宋体" w:hAnsi="宋体" w:cs="宋体"/>
          <w:bCs/>
          <w:color w:val="000000" w:themeColor="text1"/>
          <w:sz w:val="28"/>
          <w:szCs w:val="28"/>
          <w14:textFill>
            <w14:solidFill>
              <w14:schemeClr w14:val="tx1"/>
            </w14:solidFill>
          </w14:textFill>
        </w:rPr>
        <w:t>本协议项下</w:t>
      </w:r>
      <w:r>
        <w:rPr>
          <w:rFonts w:hint="eastAsia" w:ascii="宋体" w:hAnsi="宋体" w:cs="宋体"/>
          <w:bCs/>
          <w:color w:val="000000" w:themeColor="text1"/>
          <w:sz w:val="28"/>
          <w:szCs w:val="28"/>
          <w:lang w:val="en-US" w:eastAsia="zh-CN"/>
          <w14:textFill>
            <w14:solidFill>
              <w14:schemeClr w14:val="tx1"/>
            </w14:solidFill>
          </w14:textFill>
        </w:rPr>
        <w:t>乙方</w:t>
      </w:r>
      <w:r>
        <w:rPr>
          <w:rFonts w:hint="eastAsia" w:ascii="宋体" w:hAnsi="宋体" w:cs="宋体"/>
          <w:bCs/>
          <w:color w:val="000000" w:themeColor="text1"/>
          <w:sz w:val="28"/>
          <w:szCs w:val="28"/>
          <w14:textFill>
            <w14:solidFill>
              <w14:schemeClr w14:val="tx1"/>
            </w14:solidFill>
          </w14:textFill>
        </w:rPr>
        <w:t>的一切义务和连带责任均具有连续性，对其继承人、接管人、受让人及其合并、改组、更改名称等后的主体均具有完全的约束力，不受任何争议、索赔和法律程序及上级单位任何指令和与任何自然人或法人签订的任何协议、文件的影响。</w:t>
      </w:r>
    </w:p>
    <w:p w14:paraId="5C437230">
      <w:pPr>
        <w:pStyle w:val="29"/>
        <w:spacing w:line="520" w:lineRule="exact"/>
        <w:ind w:firstLine="560" w:firstLineChars="200"/>
      </w:pPr>
      <w:r>
        <w:rPr>
          <w:rFonts w:hint="eastAsia" w:ascii="宋体" w:hAnsi="宋体" w:cs="宋体"/>
          <w:bCs/>
          <w:color w:val="000000" w:themeColor="text1"/>
          <w:sz w:val="28"/>
          <w:szCs w:val="28"/>
          <w:lang w:val="en-US" w:eastAsia="zh-CN"/>
          <w14:textFill>
            <w14:solidFill>
              <w14:schemeClr w14:val="tx1"/>
            </w14:solidFill>
          </w14:textFill>
        </w:rPr>
        <w:t xml:space="preserve">13.10  </w:t>
      </w:r>
      <w:r>
        <w:rPr>
          <w:rFonts w:hint="eastAsia" w:ascii="宋体" w:hAnsi="宋体" w:cs="宋体"/>
          <w:bCs/>
          <w:color w:val="000000" w:themeColor="text1"/>
          <w:sz w:val="28"/>
          <w:szCs w:val="28"/>
          <w14:textFill>
            <w14:solidFill>
              <w14:schemeClr w14:val="tx1"/>
            </w14:solidFill>
          </w14:textFill>
        </w:rPr>
        <w:t>在协商、诉讼或仲裁期间，</w:t>
      </w:r>
      <w:r>
        <w:rPr>
          <w:rFonts w:hint="eastAsia" w:ascii="宋体" w:hAnsi="宋体" w:cs="宋体"/>
          <w:bCs/>
          <w:color w:val="000000" w:themeColor="text1"/>
          <w:sz w:val="28"/>
          <w:szCs w:val="28"/>
          <w:lang w:val="en-US" w:eastAsia="zh-CN"/>
          <w14:textFill>
            <w14:solidFill>
              <w14:schemeClr w14:val="tx1"/>
            </w14:solidFill>
          </w14:textFill>
        </w:rPr>
        <w:t>各方</w:t>
      </w:r>
      <w:r>
        <w:rPr>
          <w:rFonts w:hint="eastAsia" w:ascii="宋体" w:hAnsi="宋体" w:cs="宋体"/>
          <w:bCs/>
          <w:color w:val="000000" w:themeColor="text1"/>
          <w:sz w:val="28"/>
          <w:szCs w:val="28"/>
          <w14:textFill>
            <w14:solidFill>
              <w14:schemeClr w14:val="tx1"/>
            </w14:solidFill>
          </w14:textFill>
        </w:rPr>
        <w:t>应本着诚信原则继续履行本协议不涉及争议的部分。</w:t>
      </w:r>
    </w:p>
    <w:p w14:paraId="0533766D">
      <w:pPr>
        <w:pStyle w:val="29"/>
        <w:spacing w:line="520" w:lineRule="exact"/>
        <w:ind w:firstLine="560" w:firstLineChars="2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 xml:space="preserve">13.11  </w:t>
      </w:r>
      <w:r>
        <w:rPr>
          <w:rFonts w:hint="eastAsia" w:ascii="宋体" w:hAnsi="宋体" w:cs="宋体"/>
          <w:bCs/>
          <w:color w:val="000000" w:themeColor="text1"/>
          <w:sz w:val="28"/>
          <w:szCs w:val="28"/>
          <w14:textFill>
            <w14:solidFill>
              <w14:schemeClr w14:val="tx1"/>
            </w14:solidFill>
          </w14:textFill>
        </w:rPr>
        <w:t>在不影响本协议其他约定的情形下，本协议对</w:t>
      </w:r>
      <w:r>
        <w:rPr>
          <w:rFonts w:hint="eastAsia" w:ascii="宋体" w:hAnsi="宋体" w:cs="宋体"/>
          <w:bCs/>
          <w:color w:val="000000" w:themeColor="text1"/>
          <w:sz w:val="28"/>
          <w:szCs w:val="28"/>
          <w:lang w:val="en-US" w:eastAsia="zh-CN"/>
          <w14:textFill>
            <w14:solidFill>
              <w14:schemeClr w14:val="tx1"/>
            </w14:solidFill>
          </w14:textFill>
        </w:rPr>
        <w:t>各方</w:t>
      </w:r>
      <w:r>
        <w:rPr>
          <w:rFonts w:hint="eastAsia" w:ascii="宋体" w:hAnsi="宋体" w:cs="宋体"/>
          <w:bCs/>
          <w:color w:val="000000" w:themeColor="text1"/>
          <w:sz w:val="28"/>
          <w:szCs w:val="28"/>
          <w14:textFill>
            <w14:solidFill>
              <w14:schemeClr w14:val="tx1"/>
            </w14:solidFill>
          </w14:textFill>
        </w:rPr>
        <w:t>及</w:t>
      </w:r>
      <w:r>
        <w:rPr>
          <w:rFonts w:hint="eastAsia" w:ascii="宋体" w:hAnsi="宋体" w:cs="宋体"/>
          <w:bCs/>
          <w:color w:val="000000" w:themeColor="text1"/>
          <w:sz w:val="28"/>
          <w:szCs w:val="28"/>
          <w:lang w:val="en-US" w:eastAsia="zh-CN"/>
          <w14:textFill>
            <w14:solidFill>
              <w14:schemeClr w14:val="tx1"/>
            </w14:solidFill>
          </w14:textFill>
        </w:rPr>
        <w:t>各方</w:t>
      </w:r>
      <w:r>
        <w:rPr>
          <w:rFonts w:hint="eastAsia" w:ascii="宋体" w:hAnsi="宋体" w:cs="宋体"/>
          <w:bCs/>
          <w:color w:val="000000" w:themeColor="text1"/>
          <w:sz w:val="28"/>
          <w:szCs w:val="28"/>
          <w14:textFill>
            <w14:solidFill>
              <w14:schemeClr w14:val="tx1"/>
            </w14:solidFill>
          </w14:textFill>
        </w:rPr>
        <w:t xml:space="preserve">依法产生的承继人和受让人均具有法律约束力。  </w:t>
      </w:r>
    </w:p>
    <w:p w14:paraId="13B5E09A">
      <w:pPr>
        <w:pStyle w:val="29"/>
        <w:spacing w:line="520" w:lineRule="exact"/>
        <w:ind w:firstLine="560" w:firstLineChars="2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 xml:space="preserve">13.12  </w:t>
      </w:r>
      <w:r>
        <w:rPr>
          <w:rFonts w:hint="eastAsia" w:ascii="宋体" w:hAnsi="宋体" w:cs="宋体"/>
          <w:bCs/>
          <w:color w:val="000000" w:themeColor="text1"/>
          <w:sz w:val="28"/>
          <w:szCs w:val="28"/>
          <w14:textFill>
            <w14:solidFill>
              <w14:schemeClr w14:val="tx1"/>
            </w14:solidFill>
          </w14:textFill>
        </w:rPr>
        <w:t>本协议中的标题和业务名称仅为指代的方便而使用，不得用于对条款内容及当事方权利义务的解释。</w:t>
      </w:r>
    </w:p>
    <w:p w14:paraId="76ABD260">
      <w:pPr>
        <w:spacing w:line="54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1</w:t>
      </w:r>
      <w:r>
        <w:rPr>
          <w:rFonts w:hint="eastAsia" w:asciiTheme="minorEastAsia" w:hAnsiTheme="minorEastAsia" w:eastAsiaTheme="minorEastAsia"/>
          <w:b/>
          <w:color w:val="000000" w:themeColor="text1"/>
          <w:sz w:val="28"/>
          <w:szCs w:val="28"/>
          <w14:textFill>
            <w14:solidFill>
              <w14:schemeClr w14:val="tx1"/>
            </w14:solidFill>
          </w14:textFill>
        </w:rPr>
        <w:t>3</w:t>
      </w:r>
      <w:r>
        <w:rPr>
          <w:rFonts w:asciiTheme="minorEastAsia" w:hAnsiTheme="minorEastAsia" w:eastAsiaTheme="minorEastAsia"/>
          <w:b/>
          <w:color w:val="000000" w:themeColor="text1"/>
          <w:sz w:val="28"/>
          <w:szCs w:val="28"/>
          <w14:textFill>
            <w14:solidFill>
              <w14:schemeClr w14:val="tx1"/>
            </w14:solidFill>
          </w14:textFill>
        </w:rPr>
        <w:t>.</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13</w:t>
      </w:r>
      <w:r>
        <w:rPr>
          <w:rFonts w:hint="eastAsia" w:asciiTheme="minorEastAsia" w:hAnsiTheme="minorEastAsia" w:eastAsiaTheme="minorEastAsia"/>
          <w:b/>
          <w:color w:val="000000" w:themeColor="text1"/>
          <w:sz w:val="28"/>
          <w:szCs w:val="28"/>
          <w14:textFill>
            <w14:solidFill>
              <w14:schemeClr w14:val="tx1"/>
            </w14:solidFill>
          </w14:textFill>
        </w:rPr>
        <w:t xml:space="preserve">  本协议为非格式协议，不做不利于任何一方的解释。如需对本协议内容进行解释，应当按照符合本协议项下交易的目的、交易程序、交易背景的原则进行。</w:t>
      </w:r>
    </w:p>
    <w:p w14:paraId="7427D59D">
      <w:pPr>
        <w:spacing w:line="560" w:lineRule="exact"/>
        <w:ind w:firstLine="565" w:firstLineChars="201"/>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1</w:t>
      </w:r>
      <w:r>
        <w:rPr>
          <w:rFonts w:hint="eastAsia" w:asciiTheme="minorEastAsia" w:hAnsiTheme="minorEastAsia" w:eastAsiaTheme="minorEastAsia"/>
          <w:b/>
          <w:color w:val="000000" w:themeColor="text1"/>
          <w:sz w:val="28"/>
          <w:szCs w:val="28"/>
          <w14:textFill>
            <w14:solidFill>
              <w14:schemeClr w14:val="tx1"/>
            </w14:solidFill>
          </w14:textFill>
        </w:rPr>
        <w:t>3</w:t>
      </w:r>
      <w:r>
        <w:rPr>
          <w:rFonts w:asciiTheme="minorEastAsia" w:hAnsiTheme="minorEastAsia" w:eastAsiaTheme="minorEastAsia"/>
          <w:b/>
          <w:color w:val="000000" w:themeColor="text1"/>
          <w:sz w:val="28"/>
          <w:szCs w:val="28"/>
          <w14:textFill>
            <w14:solidFill>
              <w14:schemeClr w14:val="tx1"/>
            </w14:solidFill>
          </w14:textFill>
        </w:rPr>
        <w:t>.</w:t>
      </w:r>
      <w:r>
        <w:rPr>
          <w:rFonts w:hint="eastAsia" w:asciiTheme="minorEastAsia" w:hAnsiTheme="minorEastAsia" w:eastAsiaTheme="minorEastAsia"/>
          <w:b/>
          <w:color w:val="000000" w:themeColor="text1"/>
          <w:sz w:val="28"/>
          <w:szCs w:val="28"/>
          <w14:textFill>
            <w14:solidFill>
              <w14:schemeClr w14:val="tx1"/>
            </w14:solidFill>
          </w14:textFill>
        </w:rPr>
        <w:t>1</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本协议各条款由各方进行了充分协商，协议各方对协议各条款的内容（包括但不限于免除、减轻或加重各方责任、限制各方权利的条款）已完全知晓和理解，各方对本协议所有条款内容的理解不存在异议。</w:t>
      </w:r>
    </w:p>
    <w:p w14:paraId="09C41DF5">
      <w:pPr>
        <w:pStyle w:val="28"/>
        <w:spacing w:before="0" w:after="0" w:line="560" w:lineRule="exact"/>
        <w:ind w:firstLine="700" w:firstLineChars="250"/>
        <w:jc w:val="both"/>
        <w:rPr>
          <w:rFonts w:hint="eastAsia" w:cs="Times New Roman" w:asciiTheme="minorEastAsia" w:hAnsiTheme="minorEastAsia"/>
          <w:color w:val="000000" w:themeColor="text1"/>
          <w:kern w:val="2"/>
          <w:sz w:val="28"/>
          <w:szCs w:val="28"/>
          <w14:textFill>
            <w14:solidFill>
              <w14:schemeClr w14:val="tx1"/>
            </w14:solidFill>
          </w14:textFill>
        </w:rPr>
      </w:pPr>
      <w:r>
        <w:rPr>
          <w:rFonts w:cs="Times New Roman" w:asciiTheme="minorEastAsia" w:hAnsiTheme="minorEastAsia"/>
          <w:color w:val="000000" w:themeColor="text1"/>
          <w:kern w:val="2"/>
          <w:sz w:val="28"/>
          <w:szCs w:val="28"/>
          <w14:textFill>
            <w14:solidFill>
              <w14:schemeClr w14:val="tx1"/>
            </w14:solidFill>
          </w14:textFill>
        </w:rPr>
        <w:t>1</w:t>
      </w:r>
      <w:r>
        <w:rPr>
          <w:rFonts w:hint="eastAsia" w:cs="Times New Roman" w:asciiTheme="minorEastAsia" w:hAnsiTheme="minorEastAsia"/>
          <w:color w:val="000000" w:themeColor="text1"/>
          <w:kern w:val="2"/>
          <w:sz w:val="28"/>
          <w:szCs w:val="28"/>
          <w14:textFill>
            <w14:solidFill>
              <w14:schemeClr w14:val="tx1"/>
            </w14:solidFill>
          </w14:textFill>
        </w:rPr>
        <w:t>3</w:t>
      </w:r>
      <w:r>
        <w:rPr>
          <w:rFonts w:cs="Times New Roman" w:asciiTheme="minorEastAsia" w:hAnsiTheme="minorEastAsia"/>
          <w:color w:val="000000" w:themeColor="text1"/>
          <w:kern w:val="2"/>
          <w:sz w:val="28"/>
          <w:szCs w:val="28"/>
          <w14:textFill>
            <w14:solidFill>
              <w14:schemeClr w14:val="tx1"/>
            </w14:solidFill>
          </w14:textFill>
        </w:rPr>
        <w:t>.</w:t>
      </w:r>
      <w:r>
        <w:rPr>
          <w:rFonts w:hint="eastAsia" w:cs="Times New Roman" w:asciiTheme="minorEastAsia" w:hAnsiTheme="minorEastAsia"/>
          <w:color w:val="000000" w:themeColor="text1"/>
          <w:kern w:val="2"/>
          <w:sz w:val="28"/>
          <w:szCs w:val="28"/>
          <w14:textFill>
            <w14:solidFill>
              <w14:schemeClr w14:val="tx1"/>
            </w14:solidFill>
          </w14:textFill>
        </w:rPr>
        <w:t>1</w:t>
      </w:r>
      <w:r>
        <w:rPr>
          <w:rFonts w:hint="eastAsia" w:cs="Times New Roman" w:asciiTheme="minorEastAsia" w:hAnsiTheme="minorEastAsia"/>
          <w:color w:val="000000" w:themeColor="text1"/>
          <w:kern w:val="2"/>
          <w:sz w:val="28"/>
          <w:szCs w:val="28"/>
          <w:lang w:val="en-US" w:eastAsia="zh-CN"/>
          <w14:textFill>
            <w14:solidFill>
              <w14:schemeClr w14:val="tx1"/>
            </w14:solidFill>
          </w14:textFill>
        </w:rPr>
        <w:t>5</w:t>
      </w:r>
      <w:r>
        <w:rPr>
          <w:rFonts w:hint="eastAsia" w:cs="Times New Roman" w:asciiTheme="minorEastAsia" w:hAnsiTheme="minorEastAsia"/>
          <w:color w:val="000000" w:themeColor="text1"/>
          <w:kern w:val="2"/>
          <w:sz w:val="28"/>
          <w:szCs w:val="28"/>
          <w14:textFill>
            <w14:solidFill>
              <w14:schemeClr w14:val="tx1"/>
            </w14:solidFill>
          </w14:textFill>
        </w:rPr>
        <w:t xml:space="preserve">  本协议正本一式</w:t>
      </w:r>
      <w:r>
        <w:rPr>
          <w:rFonts w:cs="Times New Roman" w:asciiTheme="minorEastAsia" w:hAnsiTheme="minorEastAsia"/>
          <w:color w:val="000000" w:themeColor="text1"/>
          <w:kern w:val="2"/>
          <w:sz w:val="28"/>
          <w:szCs w:val="28"/>
          <w14:textFill>
            <w14:solidFill>
              <w14:schemeClr w14:val="tx1"/>
            </w14:solidFill>
          </w14:textFill>
        </w:rPr>
        <w:t>[   ]份，</w:t>
      </w:r>
      <w:r>
        <w:rPr>
          <w:rFonts w:hint="eastAsia" w:asciiTheme="minorEastAsia" w:hAnsiTheme="minorEastAsia"/>
          <w:color w:val="000000" w:themeColor="text1"/>
          <w:sz w:val="28"/>
          <w:szCs w:val="28"/>
          <w14:textFill>
            <w14:solidFill>
              <w14:schemeClr w14:val="tx1"/>
            </w14:solidFill>
          </w14:textFill>
        </w:rPr>
        <w:t>各方</w:t>
      </w:r>
      <w:r>
        <w:rPr>
          <w:rFonts w:hint="eastAsia" w:cs="Times New Roman" w:asciiTheme="minorEastAsia" w:hAnsiTheme="minorEastAsia"/>
          <w:color w:val="000000" w:themeColor="text1"/>
          <w:kern w:val="2"/>
          <w:sz w:val="28"/>
          <w:szCs w:val="28"/>
          <w14:textFill>
            <w14:solidFill>
              <w14:schemeClr w14:val="tx1"/>
            </w14:solidFill>
          </w14:textFill>
        </w:rPr>
        <w:t>各执</w:t>
      </w:r>
      <w:r>
        <w:rPr>
          <w:rFonts w:cs="Times New Roman" w:asciiTheme="minorEastAsia" w:hAnsiTheme="minorEastAsia"/>
          <w:color w:val="000000" w:themeColor="text1"/>
          <w:kern w:val="2"/>
          <w:sz w:val="28"/>
          <w:szCs w:val="28"/>
          <w14:textFill>
            <w14:solidFill>
              <w14:schemeClr w14:val="tx1"/>
            </w14:solidFill>
          </w14:textFill>
        </w:rPr>
        <w:t>[   ]份，各正本均具同等法律效力。</w:t>
      </w:r>
      <w:bookmarkStart w:id="25" w:name="_DV_M501"/>
      <w:bookmarkEnd w:id="25"/>
    </w:p>
    <w:p w14:paraId="5FDA3B1F">
      <w:pPr>
        <w:spacing w:line="560" w:lineRule="exact"/>
        <w:ind w:firstLine="560" w:firstLineChars="200"/>
        <w:outlineLvl w:val="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（以下无正文）</w:t>
      </w:r>
    </w:p>
    <w:p w14:paraId="1CC4794C">
      <w:pPr>
        <w:widowControl/>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br w:type="page"/>
      </w:r>
    </w:p>
    <w:p w14:paraId="5A04AA83">
      <w:pPr>
        <w:spacing w:line="560" w:lineRule="exact"/>
        <w:rPr>
          <w:rFonts w:hint="eastAsia" w:asciiTheme="minorEastAsia" w:hAnsiTheme="minorEastAsia" w:eastAsiaTheme="minorEastAsia"/>
          <w:bCs/>
          <w:color w:val="000000" w:themeColor="text1"/>
          <w:sz w:val="28"/>
          <w:szCs w:val="28"/>
          <w:lang w:eastAsia="zh-CN"/>
          <w14:textFill>
            <w14:solidFill>
              <w14:schemeClr w14:val="tx1"/>
            </w14:solidFill>
          </w14:textFill>
        </w:rPr>
      </w:pPr>
      <w:r>
        <w:rPr>
          <w:rFonts w:hint="eastAsia" w:asciiTheme="minorEastAsia" w:hAnsiTheme="minorEastAsia" w:eastAsiaTheme="minorEastAsia"/>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Cs/>
          <w:color w:val="000000" w:themeColor="text1"/>
          <w:sz w:val="28"/>
          <w:szCs w:val="28"/>
          <w:lang w:val="en-US" w:eastAsia="zh-CN"/>
          <w14:textFill>
            <w14:solidFill>
              <w14:schemeClr w14:val="tx1"/>
            </w14:solidFill>
          </w14:textFill>
        </w:rPr>
        <w:t>本页无正文，系《债权转让协议》之签署页</w:t>
      </w:r>
      <w:r>
        <w:rPr>
          <w:rFonts w:hint="eastAsia" w:asciiTheme="minorEastAsia" w:hAnsiTheme="minorEastAsia" w:eastAsiaTheme="minorEastAsia"/>
          <w:bCs/>
          <w:color w:val="000000" w:themeColor="text1"/>
          <w:sz w:val="28"/>
          <w:szCs w:val="28"/>
          <w:lang w:eastAsia="zh-CN"/>
          <w14:textFill>
            <w14:solidFill>
              <w14:schemeClr w14:val="tx1"/>
            </w14:solidFill>
          </w14:textFill>
        </w:rPr>
        <w:t>）</w:t>
      </w:r>
    </w:p>
    <w:p w14:paraId="512817CA">
      <w:pPr>
        <w:spacing w:line="560" w:lineRule="exact"/>
        <w:rPr>
          <w:rFonts w:hint="eastAsia" w:asciiTheme="minorEastAsia" w:hAnsiTheme="minorEastAsia" w:eastAsiaTheme="minorEastAsia"/>
          <w:bCs/>
          <w:color w:val="000000" w:themeColor="text1"/>
          <w:sz w:val="28"/>
          <w:szCs w:val="28"/>
          <w14:textFill>
            <w14:solidFill>
              <w14:schemeClr w14:val="tx1"/>
            </w14:solidFill>
          </w14:textFill>
        </w:rPr>
      </w:pPr>
    </w:p>
    <w:p w14:paraId="6F47524F">
      <w:pPr>
        <w:pStyle w:val="2"/>
        <w:numPr>
          <w:ilvl w:val="1"/>
          <w:numId w:val="0"/>
        </w:numPr>
        <w:tabs>
          <w:tab w:val="clear" w:pos="1260"/>
        </w:tabs>
        <w:rPr>
          <w:rFonts w:hint="eastAsia"/>
        </w:rPr>
      </w:pPr>
    </w:p>
    <w:p w14:paraId="0CA691C5">
      <w:pPr>
        <w:spacing w:line="560" w:lineRule="exact"/>
        <w:outlineLvl w:val="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甲方（转让方）：中国中信金融资产管理股份有限公司</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贵州</w:t>
      </w:r>
      <w:r>
        <w:rPr>
          <w:rFonts w:hint="eastAsia" w:asciiTheme="minorEastAsia" w:hAnsiTheme="minorEastAsia" w:eastAsiaTheme="minorEastAsia"/>
          <w:color w:val="000000" w:themeColor="text1"/>
          <w:sz w:val="28"/>
          <w:szCs w:val="28"/>
          <w14:textFill>
            <w14:solidFill>
              <w14:schemeClr w14:val="tx1"/>
            </w14:solidFill>
          </w14:textFill>
        </w:rPr>
        <w:t>分公司</w:t>
      </w:r>
    </w:p>
    <w:p w14:paraId="4E484FF7">
      <w:pPr>
        <w:pStyle w:val="29"/>
        <w:widowControl w:val="0"/>
        <w:tabs>
          <w:tab w:val="left" w:pos="4680"/>
        </w:tabs>
        <w:spacing w:before="163" w:after="163" w:line="520" w:lineRule="exact"/>
        <w:rPr>
          <w:rFonts w:hint="eastAsia" w:ascii="宋体" w:hAnsi="宋体" w:eastAsia="宋体"/>
          <w:b/>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负责人 </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
          <w:color w:val="000000" w:themeColor="text1"/>
          <w:sz w:val="28"/>
          <w:szCs w:val="28"/>
          <w14:textFill>
            <w14:solidFill>
              <w14:schemeClr w14:val="tx1"/>
            </w14:solidFill>
          </w14:textFill>
        </w:rPr>
        <w:t>：</w:t>
      </w:r>
      <w:r>
        <w:rPr>
          <w:rFonts w:hint="eastAsia" w:cs="Times New Roman" w:asciiTheme="minorEastAsia" w:hAnsiTheme="minorEastAsia" w:eastAsiaTheme="minorEastAsia"/>
          <w:snapToGrid/>
          <w:color w:val="000000" w:themeColor="text1"/>
          <w:kern w:val="2"/>
          <w:sz w:val="28"/>
          <w:szCs w:val="28"/>
          <w:lang w:val="en-US" w:eastAsia="zh-CN" w:bidi="ar-SA"/>
          <w14:textFill>
            <w14:solidFill>
              <w14:schemeClr w14:val="tx1"/>
            </w14:solidFill>
          </w14:textFill>
        </w:rPr>
        <w:t>张旭东</w:t>
      </w:r>
    </w:p>
    <w:p w14:paraId="2330F26D">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14:paraId="09614A4E">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w:t>
      </w:r>
    </w:p>
    <w:p w14:paraId="04F021D6">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w:t>
      </w:r>
    </w:p>
    <w:p w14:paraId="1159001E">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w:t>
      </w:r>
    </w:p>
    <w:p w14:paraId="7B964A88">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乙方（受让方）</w:t>
      </w:r>
      <w:r>
        <w:rPr>
          <w:rFonts w:hint="eastAsia" w:ascii="宋体" w:hAnsi="宋体"/>
          <w:b/>
          <w:color w:val="000000" w:themeColor="text1"/>
          <w:sz w:val="28"/>
          <w:szCs w:val="28"/>
          <w14:textFill>
            <w14:solidFill>
              <w14:schemeClr w14:val="tx1"/>
            </w14:solidFill>
          </w14:textFill>
        </w:rPr>
        <w:t>：</w:t>
      </w:r>
      <w:r>
        <w:rPr>
          <w:rFonts w:hint="eastAsia" w:ascii="宋体" w:hAnsi="宋体"/>
          <w:b/>
          <w:bCs/>
          <w:color w:val="000000" w:themeColor="text1"/>
          <w:sz w:val="28"/>
          <w:szCs w:val="28"/>
          <w14:textFill>
            <w14:solidFill>
              <w14:schemeClr w14:val="tx1"/>
            </w14:solidFill>
          </w14:textFill>
        </w:rPr>
        <w:t>[                  ]</w:t>
      </w:r>
      <w:r>
        <w:rPr>
          <w:rFonts w:hint="eastAsia" w:asciiTheme="minorEastAsia" w:hAnsiTheme="minorEastAsia" w:eastAsiaTheme="minorEastAsia"/>
          <w:color w:val="000000" w:themeColor="text1"/>
          <w:sz w:val="28"/>
          <w:szCs w:val="28"/>
          <w14:textFill>
            <w14:solidFill>
              <w14:schemeClr w14:val="tx1"/>
            </w14:solidFill>
          </w14:textFill>
        </w:rPr>
        <w:t xml:space="preserve">   </w:t>
      </w:r>
    </w:p>
    <w:p w14:paraId="7BECCEE8">
      <w:pPr>
        <w:pStyle w:val="29"/>
        <w:widowControl w:val="0"/>
        <w:tabs>
          <w:tab w:val="left" w:pos="4680"/>
        </w:tabs>
        <w:spacing w:before="163" w:after="163" w:line="520" w:lineRule="exact"/>
        <w:rPr>
          <w:rFonts w:hint="eastAsia" w:ascii="宋体" w:hAnsi="宋体"/>
          <w:b/>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2"/>
          <w:sz w:val="28"/>
          <w:szCs w:val="28"/>
          <w14:textFill>
            <w14:solidFill>
              <w14:schemeClr w14:val="tx1"/>
            </w14:solidFill>
          </w14:textFill>
        </w:rPr>
        <w:t>法定代表人</w:t>
      </w: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
          <w:color w:val="000000" w:themeColor="text1"/>
          <w:sz w:val="28"/>
          <w:szCs w:val="28"/>
          <w14:textFill>
            <w14:solidFill>
              <w14:schemeClr w14:val="tx1"/>
            </w14:solidFill>
          </w14:textFill>
        </w:rPr>
        <w:t>：</w:t>
      </w:r>
      <w:r>
        <w:rPr>
          <w:rFonts w:hint="eastAsia" w:ascii="宋体" w:hAnsi="宋体"/>
          <w:b/>
          <w:bCs/>
          <w:color w:val="000000" w:themeColor="text1"/>
          <w:sz w:val="28"/>
          <w:szCs w:val="28"/>
          <w14:textFill>
            <w14:solidFill>
              <w14:schemeClr w14:val="tx1"/>
            </w14:solidFill>
          </w14:textFill>
        </w:rPr>
        <w:t>[                  ]</w:t>
      </w:r>
    </w:p>
    <w:p w14:paraId="1E02C880">
      <w:pPr>
        <w:pStyle w:val="5"/>
        <w:spacing w:line="560" w:lineRule="exact"/>
        <w:ind w:firstLine="0"/>
        <w:rPr>
          <w:rFonts w:hint="eastAsia" w:asciiTheme="minorEastAsia" w:hAnsiTheme="minorEastAsia" w:eastAsiaTheme="minorEastAsia"/>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color w:val="000000" w:themeColor="text1"/>
          <w:kern w:val="2"/>
          <w:sz w:val="28"/>
          <w:szCs w:val="28"/>
          <w:lang w:eastAsia="zh-CN"/>
          <w14:textFill>
            <w14:solidFill>
              <w14:schemeClr w14:val="tx1"/>
            </w14:solidFill>
          </w14:textFill>
        </w:rPr>
        <w:t> </w:t>
      </w:r>
    </w:p>
    <w:p w14:paraId="6A0E91D4">
      <w:pPr>
        <w:pStyle w:val="5"/>
        <w:spacing w:line="560" w:lineRule="exact"/>
        <w:ind w:firstLine="560" w:firstLineChars="200"/>
        <w:rPr>
          <w:rFonts w:hint="eastAsia" w:asciiTheme="minorEastAsia" w:hAnsiTheme="minorEastAsia" w:eastAsiaTheme="minorEastAsia"/>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color w:val="000000" w:themeColor="text1"/>
          <w:kern w:val="2"/>
          <w:sz w:val="28"/>
          <w:szCs w:val="28"/>
          <w:lang w:eastAsia="zh-CN"/>
          <w14:textFill>
            <w14:solidFill>
              <w14:schemeClr w14:val="tx1"/>
            </w14:solidFill>
          </w14:textFill>
        </w:rPr>
        <w:t> </w:t>
      </w:r>
    </w:p>
    <w:p w14:paraId="4A20E4B2">
      <w:pPr>
        <w:pStyle w:val="5"/>
        <w:spacing w:line="560" w:lineRule="exact"/>
        <w:ind w:firstLine="560" w:firstLineChars="200"/>
        <w:rPr>
          <w:rFonts w:hint="eastAsia" w:asciiTheme="minorEastAsia" w:hAnsiTheme="minorEastAsia" w:eastAsiaTheme="minorEastAsia"/>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color w:val="000000" w:themeColor="text1"/>
          <w:kern w:val="2"/>
          <w:sz w:val="28"/>
          <w:szCs w:val="28"/>
          <w:lang w:eastAsia="zh-CN"/>
          <w14:textFill>
            <w14:solidFill>
              <w14:schemeClr w14:val="tx1"/>
            </w14:solidFill>
          </w14:textFill>
        </w:rPr>
        <w:t> </w:t>
      </w:r>
    </w:p>
    <w:p w14:paraId="3C7E6FD2">
      <w:pPr>
        <w:pStyle w:val="3"/>
        <w:keepNext w:val="0"/>
        <w:keepLines w:val="0"/>
        <w:widowControl w:val="0"/>
        <w:numPr>
          <w:ilvl w:val="0"/>
          <w:numId w:val="0"/>
        </w:numPr>
        <w:spacing w:before="0" w:after="0" w:line="560" w:lineRule="exact"/>
        <w:jc w:val="both"/>
        <w:rPr>
          <w:rFonts w:hint="eastAsia" w:asciiTheme="minorEastAsia" w:hAnsiTheme="minorEastAsia" w:eastAsiaTheme="minorEastAsia"/>
          <w:b w:val="0"/>
          <w:caps w:val="0"/>
          <w:color w:val="000000" w:themeColor="text1"/>
          <w:kern w:val="2"/>
          <w:sz w:val="24"/>
          <w:szCs w:val="24"/>
          <w:lang w:eastAsia="zh-CN"/>
          <w14:textFill>
            <w14:solidFill>
              <w14:schemeClr w14:val="tx1"/>
            </w14:solidFill>
          </w14:textFill>
        </w:rPr>
      </w:pPr>
      <w:bookmarkStart w:id="26" w:name="_Toc100162855"/>
    </w:p>
    <w:p w14:paraId="3E9D8AFD">
      <w:pPr>
        <w:pStyle w:val="3"/>
        <w:keepNext w:val="0"/>
        <w:keepLines w:val="0"/>
        <w:widowControl w:val="0"/>
        <w:numPr>
          <w:ilvl w:val="0"/>
          <w:numId w:val="0"/>
        </w:numPr>
        <w:spacing w:before="0" w:after="0" w:line="560" w:lineRule="exact"/>
        <w:jc w:val="both"/>
        <w:rPr>
          <w:rFonts w:hint="eastAsia" w:asciiTheme="minorEastAsia" w:hAnsiTheme="minorEastAsia" w:eastAsiaTheme="minorEastAsia"/>
          <w:b w:val="0"/>
          <w:caps w:val="0"/>
          <w:color w:val="000000" w:themeColor="text1"/>
          <w:kern w:val="2"/>
          <w:sz w:val="24"/>
          <w:szCs w:val="24"/>
          <w:lang w:eastAsia="zh-CN"/>
          <w14:textFill>
            <w14:solidFill>
              <w14:schemeClr w14:val="tx1"/>
            </w14:solidFill>
          </w14:textFill>
        </w:rPr>
      </w:pPr>
    </w:p>
    <w:p w14:paraId="4D16A062">
      <w:pPr>
        <w:pStyle w:val="3"/>
        <w:keepNext w:val="0"/>
        <w:keepLines w:val="0"/>
        <w:widowControl w:val="0"/>
        <w:numPr>
          <w:ilvl w:val="0"/>
          <w:numId w:val="0"/>
        </w:numPr>
        <w:spacing w:before="0" w:after="0" w:line="560" w:lineRule="exact"/>
        <w:jc w:val="both"/>
        <w:rPr>
          <w:rFonts w:hint="eastAsia" w:asciiTheme="minorEastAsia" w:hAnsiTheme="minorEastAsia" w:eastAsiaTheme="minorEastAsia"/>
          <w:b w:val="0"/>
          <w:caps w:val="0"/>
          <w:color w:val="000000" w:themeColor="text1"/>
          <w:kern w:val="2"/>
          <w:sz w:val="24"/>
          <w:szCs w:val="24"/>
          <w:lang w:eastAsia="zh-CN"/>
          <w14:textFill>
            <w14:solidFill>
              <w14:schemeClr w14:val="tx1"/>
            </w14:solidFill>
          </w14:textFill>
        </w:rPr>
      </w:pPr>
    </w:p>
    <w:p w14:paraId="713724CB">
      <w:pPr>
        <w:widowControl/>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b/>
          <w:caps/>
          <w:color w:val="000000" w:themeColor="text1"/>
          <w:sz w:val="24"/>
          <w:szCs w:val="24"/>
          <w14:textFill>
            <w14:solidFill>
              <w14:schemeClr w14:val="tx1"/>
            </w14:solidFill>
          </w14:textFill>
        </w:rPr>
        <w:br w:type="page"/>
      </w:r>
    </w:p>
    <w:p w14:paraId="6729A90C">
      <w:pPr>
        <w:pStyle w:val="3"/>
        <w:numPr>
          <w:ilvl w:val="0"/>
          <w:numId w:val="0"/>
        </w:numPr>
        <w:spacing w:before="0" w:after="0" w:line="560" w:lineRule="exact"/>
        <w:jc w:val="both"/>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附件一:</w:t>
      </w:r>
    </w:p>
    <w:p w14:paraId="04E760D5">
      <w:pPr>
        <w:spacing w:line="560" w:lineRule="exact"/>
        <w:ind w:firstLine="562" w:firstLineChars="200"/>
        <w:jc w:val="center"/>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标的债权清单</w:t>
      </w:r>
    </w:p>
    <w:p w14:paraId="6C67D632">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基准日：</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2025年10月31日</w:t>
      </w:r>
      <w:r>
        <w:rPr>
          <w:rFonts w:hint="eastAsia" w:asciiTheme="minorEastAsia" w:hAnsiTheme="minorEastAsia" w:eastAsiaTheme="minorEastAsia"/>
          <w:color w:val="000000" w:themeColor="text1"/>
          <w:sz w:val="28"/>
          <w:szCs w:val="28"/>
          <w14:textFill>
            <w14:solidFill>
              <w14:schemeClr w14:val="tx1"/>
            </w14:solidFill>
          </w14:textFill>
        </w:rPr>
        <w:t xml:space="preserve">            金额单位： 人民币 元</w:t>
      </w:r>
    </w:p>
    <w:tbl>
      <w:tblPr>
        <w:tblStyle w:val="1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2022"/>
        <w:gridCol w:w="1575"/>
        <w:gridCol w:w="1510"/>
        <w:gridCol w:w="1421"/>
        <w:gridCol w:w="1417"/>
      </w:tblGrid>
      <w:tr w14:paraId="2AE8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dxa"/>
          </w:tcPr>
          <w:p w14:paraId="7B511969">
            <w:pPr>
              <w:spacing w:line="560" w:lineRule="exact"/>
              <w:jc w:val="center"/>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序号</w:t>
            </w:r>
          </w:p>
        </w:tc>
        <w:tc>
          <w:tcPr>
            <w:tcW w:w="2022" w:type="dxa"/>
          </w:tcPr>
          <w:p w14:paraId="32A549BB">
            <w:pPr>
              <w:spacing w:line="560" w:lineRule="exact"/>
              <w:jc w:val="center"/>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债务人</w:t>
            </w:r>
          </w:p>
        </w:tc>
        <w:tc>
          <w:tcPr>
            <w:tcW w:w="1575" w:type="dxa"/>
          </w:tcPr>
          <w:p w14:paraId="5E6C71A9">
            <w:pPr>
              <w:spacing w:line="560" w:lineRule="exact"/>
              <w:jc w:val="center"/>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债权本息总额</w:t>
            </w:r>
          </w:p>
        </w:tc>
        <w:tc>
          <w:tcPr>
            <w:tcW w:w="1510" w:type="dxa"/>
          </w:tcPr>
          <w:p w14:paraId="75E09556">
            <w:pPr>
              <w:spacing w:line="560" w:lineRule="exact"/>
              <w:jc w:val="center"/>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本金余额</w:t>
            </w:r>
          </w:p>
        </w:tc>
        <w:tc>
          <w:tcPr>
            <w:tcW w:w="1421" w:type="dxa"/>
          </w:tcPr>
          <w:p w14:paraId="335C90A0">
            <w:pPr>
              <w:spacing w:line="560" w:lineRule="exact"/>
              <w:jc w:val="center"/>
              <w:rPr>
                <w:rFonts w:hint="default"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欠息</w:t>
            </w:r>
          </w:p>
        </w:tc>
        <w:tc>
          <w:tcPr>
            <w:tcW w:w="1417" w:type="dxa"/>
          </w:tcPr>
          <w:p w14:paraId="1DD584D8">
            <w:pPr>
              <w:spacing w:line="560" w:lineRule="exact"/>
              <w:jc w:val="center"/>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备注</w:t>
            </w:r>
          </w:p>
        </w:tc>
      </w:tr>
      <w:tr w14:paraId="66F5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574" w:type="dxa"/>
          </w:tcPr>
          <w:p w14:paraId="2549E19C">
            <w:pPr>
              <w:spacing w:line="560" w:lineRule="exact"/>
              <w:jc w:val="center"/>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w:t>
            </w:r>
          </w:p>
        </w:tc>
        <w:tc>
          <w:tcPr>
            <w:tcW w:w="2022" w:type="dxa"/>
          </w:tcPr>
          <w:p w14:paraId="64E5067D">
            <w:pPr>
              <w:spacing w:line="560" w:lineRule="exact"/>
              <w:jc w:val="center"/>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贵州省福明置业有限公司</w:t>
            </w:r>
          </w:p>
        </w:tc>
        <w:tc>
          <w:tcPr>
            <w:tcW w:w="1575" w:type="dxa"/>
          </w:tcPr>
          <w:p w14:paraId="6896FEE0">
            <w:pPr>
              <w:spacing w:line="560" w:lineRule="exact"/>
              <w:jc w:val="center"/>
              <w:rPr>
                <w:rFonts w:hint="default" w:cs="Times New Roman" w:asciiTheme="minorEastAsia" w:hAnsiTheme="minorEastAsia" w:eastAsiaTheme="minorEastAsia"/>
                <w:color w:val="000000" w:themeColor="text1"/>
                <w:sz w:val="24"/>
                <w:szCs w:val="24"/>
                <w:lang w:val="en-US"/>
                <w14:textFill>
                  <w14:solidFill>
                    <w14:schemeClr w14:val="tx1"/>
                  </w14:solidFill>
                </w14:textFill>
              </w:rPr>
            </w:pPr>
            <w:r>
              <w:rPr>
                <w:rFonts w:hint="default" w:cs="Times New Roman" w:asciiTheme="minorEastAsia" w:hAnsiTheme="minorEastAsia" w:eastAsiaTheme="minorEastAsia"/>
                <w:color w:val="000000" w:themeColor="text1"/>
                <w:sz w:val="24"/>
                <w:szCs w:val="24"/>
                <w:lang w:val="en-US"/>
                <w14:textFill>
                  <w14:solidFill>
                    <w14:schemeClr w14:val="tx1"/>
                  </w14:solidFill>
                </w14:textFill>
              </w:rPr>
              <w:t>436,949,719.27</w:t>
            </w:r>
          </w:p>
        </w:tc>
        <w:tc>
          <w:tcPr>
            <w:tcW w:w="1510" w:type="dxa"/>
          </w:tcPr>
          <w:p w14:paraId="1630B630">
            <w:pPr>
              <w:spacing w:line="560" w:lineRule="exact"/>
              <w:jc w:val="center"/>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131,583,323.00</w:t>
            </w:r>
          </w:p>
        </w:tc>
        <w:tc>
          <w:tcPr>
            <w:tcW w:w="1421" w:type="dxa"/>
          </w:tcPr>
          <w:p w14:paraId="6829EFDB">
            <w:pPr>
              <w:spacing w:line="560" w:lineRule="exact"/>
              <w:jc w:val="center"/>
              <w:rPr>
                <w:rFonts w:hint="default" w:cs="Times New Roman" w:asciiTheme="minorEastAsia" w:hAnsiTheme="minorEastAsia" w:eastAsiaTheme="minorEastAsia"/>
                <w:color w:val="000000" w:themeColor="text1"/>
                <w:sz w:val="24"/>
                <w:szCs w:val="24"/>
                <w:lang w:val="en-US"/>
                <w14:textFill>
                  <w14:solidFill>
                    <w14:schemeClr w14:val="tx1"/>
                  </w14:solidFill>
                </w14:textFill>
              </w:rPr>
            </w:pPr>
            <w: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t>305,3</w:t>
            </w: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66</w:t>
            </w:r>
            <w: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t>,396.27</w:t>
            </w:r>
          </w:p>
        </w:tc>
        <w:tc>
          <w:tcPr>
            <w:tcW w:w="1417" w:type="dxa"/>
          </w:tcPr>
          <w:p w14:paraId="70EB46C8">
            <w:pPr>
              <w:spacing w:line="560" w:lineRule="exact"/>
              <w:jc w:val="center"/>
              <w:rPr>
                <w:rFonts w:hint="default" w:cs="Times New Roman" w:asciiTheme="minorEastAsia" w:hAnsiTheme="minorEastAsia" w:eastAsiaTheme="minorEastAsia"/>
                <w:color w:val="000000" w:themeColor="text1"/>
                <w:sz w:val="24"/>
                <w:szCs w:val="24"/>
                <w:lang w:val="en-US"/>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代垫费用：27040</w:t>
            </w:r>
            <w: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t>.00</w:t>
            </w:r>
          </w:p>
        </w:tc>
      </w:tr>
      <w:tr w14:paraId="72B7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4" w:type="dxa"/>
          </w:tcPr>
          <w:p w14:paraId="748FD84B">
            <w:pPr>
              <w:spacing w:line="560" w:lineRule="exact"/>
              <w:jc w:val="center"/>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w:t>
            </w:r>
          </w:p>
        </w:tc>
        <w:tc>
          <w:tcPr>
            <w:tcW w:w="2022" w:type="dxa"/>
          </w:tcPr>
          <w:p w14:paraId="70808CE8">
            <w:pPr>
              <w:spacing w:line="560" w:lineRule="exact"/>
              <w:jc w:val="center"/>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贵州省福明置业有限公司</w:t>
            </w:r>
          </w:p>
        </w:tc>
        <w:tc>
          <w:tcPr>
            <w:tcW w:w="1575" w:type="dxa"/>
          </w:tcPr>
          <w:p w14:paraId="59FF67C4">
            <w:pPr>
              <w:spacing w:line="560" w:lineRule="exact"/>
              <w:jc w:val="center"/>
              <w:rPr>
                <w:rFonts w:hint="default" w:cs="Times New Roman" w:asciiTheme="minorEastAsia" w:hAnsiTheme="minorEastAsia" w:eastAsiaTheme="minorEastAsia"/>
                <w:color w:val="000000" w:themeColor="text1"/>
                <w:sz w:val="24"/>
                <w:szCs w:val="24"/>
                <w:lang w:val="en-US"/>
                <w14:textFill>
                  <w14:solidFill>
                    <w14:schemeClr w14:val="tx1"/>
                  </w14:solidFill>
                </w14:textFill>
              </w:rPr>
            </w:pPr>
            <w:r>
              <w:rPr>
                <w:rFonts w:hint="default" w:cs="Times New Roman" w:asciiTheme="minorEastAsia" w:hAnsiTheme="minorEastAsia" w:eastAsiaTheme="minorEastAsia"/>
                <w:color w:val="000000" w:themeColor="text1"/>
                <w:sz w:val="24"/>
                <w:szCs w:val="24"/>
                <w:lang w:val="en-US"/>
                <w14:textFill>
                  <w14:solidFill>
                    <w14:schemeClr w14:val="tx1"/>
                  </w14:solidFill>
                </w14:textFill>
              </w:rPr>
              <w:t>178,940,980.48</w:t>
            </w:r>
          </w:p>
        </w:tc>
        <w:tc>
          <w:tcPr>
            <w:tcW w:w="1510" w:type="dxa"/>
          </w:tcPr>
          <w:p w14:paraId="33D4E226">
            <w:pPr>
              <w:spacing w:line="560" w:lineRule="exact"/>
              <w:jc w:val="center"/>
              <w:rPr>
                <w:rFonts w:hint="eastAsia"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54,997,768.40</w:t>
            </w:r>
          </w:p>
        </w:tc>
        <w:tc>
          <w:tcPr>
            <w:tcW w:w="1421" w:type="dxa"/>
          </w:tcPr>
          <w:p w14:paraId="7A0016D6">
            <w:pPr>
              <w:spacing w:line="560" w:lineRule="exact"/>
              <w:jc w:val="center"/>
              <w:rPr>
                <w:rFonts w:hint="default" w:cs="Times New Roman" w:asciiTheme="minorEastAsia" w:hAnsiTheme="minorEastAsia" w:eastAsiaTheme="minorEastAsia"/>
                <w:color w:val="000000" w:themeColor="text1"/>
                <w:sz w:val="24"/>
                <w:szCs w:val="24"/>
                <w:lang w:val="en-US"/>
                <w14:textFill>
                  <w14:solidFill>
                    <w14:schemeClr w14:val="tx1"/>
                  </w14:solidFill>
                </w14:textFill>
              </w:rPr>
            </w:pPr>
            <w: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t>123,943,212.08</w:t>
            </w:r>
          </w:p>
        </w:tc>
        <w:tc>
          <w:tcPr>
            <w:tcW w:w="1417" w:type="dxa"/>
          </w:tcPr>
          <w:p w14:paraId="7E191DE5">
            <w:pPr>
              <w:spacing w:line="560" w:lineRule="exact"/>
              <w:jc w:val="center"/>
              <w:rPr>
                <w:rFonts w:hint="default" w:cs="Times New Roman" w:asciiTheme="minorEastAsia" w:hAnsiTheme="minorEastAsia" w:eastAsiaTheme="minorEastAsia"/>
                <w:color w:val="000000" w:themeColor="text1"/>
                <w:sz w:val="24"/>
                <w:szCs w:val="24"/>
                <w:lang w:val="en-US"/>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代垫费用：</w:t>
            </w:r>
            <w:r>
              <w:rPr>
                <w:rFonts w:hint="default" w:cs="Times New Roman" w:asciiTheme="minorEastAsia" w:hAnsiTheme="minorEastAsia" w:eastAsiaTheme="minorEastAsia"/>
                <w:color w:val="000000" w:themeColor="text1"/>
                <w:sz w:val="24"/>
                <w:szCs w:val="24"/>
                <w:lang w:val="en-US" w:eastAsia="zh-CN"/>
                <w14:textFill>
                  <w14:solidFill>
                    <w14:schemeClr w14:val="tx1"/>
                  </w14:solidFill>
                </w14:textFill>
              </w:rPr>
              <w:t>43600.00</w:t>
            </w:r>
          </w:p>
        </w:tc>
      </w:tr>
      <w:bookmarkEnd w:id="26"/>
    </w:tbl>
    <w:p w14:paraId="40E5A22B">
      <w:pPr>
        <w:pStyle w:val="29"/>
        <w:widowControl/>
        <w:numPr>
          <w:ilvl w:val="0"/>
          <w:numId w:val="0"/>
        </w:numPr>
        <w:pBdr>
          <w:top w:val="none" w:color="auto" w:sz="0" w:space="0"/>
          <w:left w:val="none" w:color="auto" w:sz="0" w:space="0"/>
          <w:bottom w:val="none" w:color="auto" w:sz="0" w:space="0"/>
          <w:right w:val="none" w:color="auto" w:sz="0" w:space="0"/>
        </w:pBdr>
        <w:tabs>
          <w:tab w:val="left" w:pos="4680"/>
        </w:tabs>
        <w:spacing w:line="400" w:lineRule="exact"/>
        <w:ind w:firstLine="240" w:firstLineChars="100"/>
        <w:textAlignment w:val="baseline"/>
        <w:rPr>
          <w:rFonts w:hint="eastAsia" w:ascii="宋体" w:hAnsi="宋体"/>
          <w:bCs/>
          <w:color w:val="000000" w:themeColor="text1"/>
          <w:szCs w:val="24"/>
          <w14:textFill>
            <w14:solidFill>
              <w14:schemeClr w14:val="tx1"/>
            </w14:solidFill>
          </w14:textFill>
        </w:rPr>
      </w:pPr>
      <w:r>
        <w:rPr>
          <w:rFonts w:hint="eastAsia" w:ascii="宋体" w:hAnsi="宋体"/>
          <w:bCs/>
          <w:color w:val="000000" w:themeColor="text1"/>
          <w:szCs w:val="24"/>
          <w:lang w:val="en-US" w:eastAsia="zh-CN"/>
          <w14:textFill>
            <w14:solidFill>
              <w14:schemeClr w14:val="tx1"/>
            </w14:solidFill>
          </w14:textFill>
        </w:rPr>
        <w:t>备</w:t>
      </w:r>
      <w:r>
        <w:rPr>
          <w:rFonts w:hint="eastAsia" w:ascii="宋体" w:hAnsi="宋体"/>
          <w:bCs/>
          <w:color w:val="000000" w:themeColor="text1"/>
          <w:szCs w:val="24"/>
          <w14:textFill>
            <w14:solidFill>
              <w14:schemeClr w14:val="tx1"/>
            </w14:solidFill>
          </w14:textFill>
        </w:rPr>
        <w:t>注：</w:t>
      </w:r>
    </w:p>
    <w:p w14:paraId="5E9FE0CA">
      <w:pPr>
        <w:pStyle w:val="29"/>
        <w:widowControl/>
        <w:numPr>
          <w:ilvl w:val="0"/>
          <w:numId w:val="0"/>
        </w:numPr>
        <w:pBdr>
          <w:top w:val="none" w:color="auto" w:sz="0" w:space="0"/>
          <w:left w:val="none" w:color="auto" w:sz="0" w:space="0"/>
          <w:bottom w:val="none" w:color="auto" w:sz="0" w:space="0"/>
          <w:right w:val="none" w:color="auto" w:sz="0" w:space="0"/>
        </w:pBdr>
        <w:tabs>
          <w:tab w:val="left" w:pos="4680"/>
        </w:tabs>
        <w:spacing w:line="400" w:lineRule="exact"/>
        <w:ind w:firstLine="480" w:firstLineChars="200"/>
        <w:textAlignment w:val="baseline"/>
        <w:rPr>
          <w:rFonts w:hint="eastAsia" w:ascii="宋体" w:hAnsi="宋体" w:eastAsia="宋体" w:cs="Times New Roman"/>
          <w:bCs/>
          <w:i w:val="0"/>
          <w:iCs w:val="0"/>
          <w:caps w:val="0"/>
          <w:color w:val="000000" w:themeColor="text1"/>
          <w:spacing w:val="0"/>
          <w:sz w:val="24"/>
          <w:szCs w:val="24"/>
          <w:shd w:val="clear" w:fill="FFFFFF"/>
          <w:vertAlign w:val="baseline"/>
          <w:lang w:val="en-US" w:eastAsia="zh-CN"/>
          <w14:textFill>
            <w14:solidFill>
              <w14:schemeClr w14:val="tx1"/>
            </w14:solidFill>
          </w14:textFill>
        </w:rPr>
      </w:pPr>
      <w:r>
        <w:rPr>
          <w:rFonts w:hint="eastAsia" w:ascii="宋体" w:hAnsi="宋体" w:eastAsia="宋体"/>
          <w:bCs/>
          <w:color w:val="000000" w:themeColor="text1"/>
          <w:szCs w:val="24"/>
          <w:shd w:val="clear" w:fill="FFFFFF"/>
          <w:lang w:val="en-US" w:eastAsia="zh-CN"/>
          <w14:textFill>
            <w14:solidFill>
              <w14:schemeClr w14:val="tx1"/>
            </w14:solidFill>
          </w14:textFill>
        </w:rPr>
        <w:t>1.上述标的债权及从权利已获生效法律文书支持，</w:t>
      </w:r>
      <w:r>
        <w:rPr>
          <w:rFonts w:hint="eastAsia" w:ascii="宋体" w:hAnsi="宋体" w:eastAsia="宋体"/>
          <w:bCs/>
          <w:color w:val="000000" w:themeColor="text1"/>
          <w:szCs w:val="24"/>
          <w:highlight w:val="none"/>
          <w:shd w:val="clear" w:fill="FFFFFF"/>
          <w:lang w:val="en-US" w:eastAsia="zh-CN"/>
          <w14:textFill>
            <w14:solidFill>
              <w14:schemeClr w14:val="tx1"/>
            </w14:solidFill>
          </w14:textFill>
        </w:rPr>
        <w:t>本</w:t>
      </w:r>
      <w:r>
        <w:rPr>
          <w:rFonts w:hint="eastAsia" w:ascii="宋体" w:hAnsi="宋体" w:eastAsia="宋体"/>
          <w:bCs/>
          <w:color w:val="000000" w:themeColor="text1"/>
          <w:szCs w:val="24"/>
          <w:shd w:val="clear" w:fill="FFFFFF"/>
          <w:lang w:val="en-US" w:eastAsia="zh-CN"/>
          <w14:textFill>
            <w14:solidFill>
              <w14:schemeClr w14:val="tx1"/>
            </w14:solidFill>
          </w14:textFill>
        </w:rPr>
        <w:t>清单仅列示截止2025年</w:t>
      </w:r>
      <w:r>
        <w:rPr>
          <w:rFonts w:hint="default" w:ascii="宋体" w:hAnsi="宋体" w:eastAsia="宋体"/>
          <w:bCs/>
          <w:color w:val="000000" w:themeColor="text1"/>
          <w:szCs w:val="24"/>
          <w:shd w:val="clear" w:fill="FFFFFF"/>
          <w:lang w:val="en-US" w:eastAsia="zh-CN"/>
          <w14:textFill>
            <w14:solidFill>
              <w14:schemeClr w14:val="tx1"/>
            </w14:solidFill>
          </w14:textFill>
        </w:rPr>
        <w:t>10</w:t>
      </w:r>
      <w:r>
        <w:rPr>
          <w:rFonts w:hint="eastAsia" w:ascii="宋体" w:hAnsi="宋体" w:eastAsia="宋体"/>
          <w:bCs/>
          <w:color w:val="000000" w:themeColor="text1"/>
          <w:szCs w:val="24"/>
          <w:shd w:val="clear" w:fill="FFFFFF"/>
          <w:lang w:val="en-US" w:eastAsia="zh-CN"/>
          <w14:textFill>
            <w14:solidFill>
              <w14:schemeClr w14:val="tx1"/>
            </w14:solidFill>
          </w14:textFill>
        </w:rPr>
        <w:t>月31日的债权本金、收益、重组宽限补偿金、代垫费用，</w:t>
      </w:r>
      <w:r>
        <w:rPr>
          <w:rFonts w:hint="eastAsia" w:ascii="宋体" w:hAnsi="宋体" w:eastAsia="宋体" w:cs="Times New Roman"/>
          <w:bCs/>
          <w:i w:val="0"/>
          <w:iCs w:val="0"/>
          <w:caps w:val="0"/>
          <w:color w:val="000000" w:themeColor="text1"/>
          <w:spacing w:val="0"/>
          <w:sz w:val="24"/>
          <w:szCs w:val="24"/>
          <w:shd w:val="clear" w:fill="FFFFFF"/>
          <w:vertAlign w:val="baseline"/>
          <w:lang w:val="en-US" w:eastAsia="zh-CN"/>
          <w14:textFill>
            <w14:solidFill>
              <w14:schemeClr w14:val="tx1"/>
            </w14:solidFill>
          </w14:textFill>
        </w:rPr>
        <w:t>债务人实际应支付的</w:t>
      </w:r>
      <w:r>
        <w:rPr>
          <w:rFonts w:hint="eastAsia" w:ascii="宋体" w:hAnsi="宋体" w:cs="Times New Roman"/>
          <w:bCs/>
          <w:i w:val="0"/>
          <w:iCs w:val="0"/>
          <w:caps w:val="0"/>
          <w:color w:val="000000" w:themeColor="text1"/>
          <w:spacing w:val="0"/>
          <w:sz w:val="24"/>
          <w:szCs w:val="24"/>
          <w:shd w:val="clear" w:fill="FFFFFF"/>
          <w:vertAlign w:val="baseline"/>
          <w:lang w:val="en-US" w:eastAsia="zh-CN"/>
          <w14:textFill>
            <w14:solidFill>
              <w14:schemeClr w14:val="tx1"/>
            </w14:solidFill>
          </w14:textFill>
        </w:rPr>
        <w:t>债务</w:t>
      </w:r>
      <w:r>
        <w:rPr>
          <w:rFonts w:hint="eastAsia" w:ascii="宋体" w:hAnsi="宋体" w:eastAsia="宋体" w:cs="Times New Roman"/>
          <w:bCs/>
          <w:i w:val="0"/>
          <w:iCs w:val="0"/>
          <w:caps w:val="0"/>
          <w:color w:val="000000" w:themeColor="text1"/>
          <w:spacing w:val="0"/>
          <w:sz w:val="24"/>
          <w:szCs w:val="24"/>
          <w:shd w:val="clear" w:fill="FFFFFF"/>
          <w:vertAlign w:val="baseline"/>
          <w:lang w:val="en-US" w:eastAsia="zh-CN"/>
          <w14:textFill>
            <w14:solidFill>
              <w14:schemeClr w14:val="tx1"/>
            </w14:solidFill>
          </w14:textFill>
        </w:rPr>
        <w:t>等，以债权相关协议、生效法律文书及法律法规所确定和执行现状为准。</w:t>
      </w:r>
    </w:p>
    <w:p w14:paraId="5E59A77D">
      <w:pPr>
        <w:pStyle w:val="29"/>
        <w:keepNext w:val="0"/>
        <w:keepLines w:val="0"/>
        <w:widowControl/>
        <w:suppressLineNumbers w:val="0"/>
        <w:pBdr>
          <w:top w:val="none" w:color="auto" w:sz="0" w:space="0"/>
          <w:left w:val="none" w:color="auto" w:sz="0" w:space="0"/>
          <w:bottom w:val="none" w:color="auto" w:sz="0" w:space="0"/>
          <w:right w:val="none" w:color="auto" w:sz="0" w:space="0"/>
        </w:pBdr>
        <w:tabs>
          <w:tab w:val="left" w:pos="4680"/>
        </w:tabs>
        <w:spacing w:before="0" w:beforeAutospacing="0" w:after="0" w:afterAutospacing="0" w:line="400" w:lineRule="exact"/>
        <w:ind w:right="0" w:firstLine="480" w:firstLineChars="200"/>
        <w:jc w:val="both"/>
        <w:textAlignment w:val="baseline"/>
        <w:rPr>
          <w:rFonts w:hint="eastAsia" w:ascii="宋体" w:hAnsi="宋体" w:eastAsia="宋体" w:cs="Times New Roman"/>
          <w:bCs/>
          <w:i w:val="0"/>
          <w:iCs w:val="0"/>
          <w:caps w:val="0"/>
          <w:color w:val="000000" w:themeColor="text1"/>
          <w:spacing w:val="0"/>
          <w:sz w:val="24"/>
          <w:szCs w:val="24"/>
          <w:highlight w:val="none"/>
          <w:shd w:val="clear" w:fill="FFFFFF"/>
          <w:vertAlign w:val="baseline"/>
          <w:lang w:val="en-US" w:eastAsia="zh-CN"/>
          <w14:textFill>
            <w14:solidFill>
              <w14:schemeClr w14:val="tx1"/>
            </w14:solidFill>
          </w14:textFill>
        </w:rPr>
      </w:pPr>
      <w:r>
        <w:rPr>
          <w:rFonts w:hint="eastAsia" w:ascii="宋体" w:hAnsi="宋体" w:eastAsia="宋体" w:cs="Times New Roman"/>
          <w:bCs/>
          <w:i w:val="0"/>
          <w:iCs w:val="0"/>
          <w:caps w:val="0"/>
          <w:color w:val="000000" w:themeColor="text1"/>
          <w:spacing w:val="0"/>
          <w:sz w:val="24"/>
          <w:szCs w:val="24"/>
          <w:shd w:val="clear" w:fill="FFFFFF"/>
          <w:vertAlign w:val="baseline"/>
          <w:lang w:val="en-US" w:eastAsia="zh-CN"/>
          <w14:textFill>
            <w14:solidFill>
              <w14:schemeClr w14:val="tx1"/>
            </w14:solidFill>
          </w14:textFill>
        </w:rPr>
        <w:t>2.</w:t>
      </w:r>
      <w:r>
        <w:rPr>
          <w:rFonts w:hint="eastAsia" w:ascii="宋体" w:hAnsi="宋体" w:eastAsia="宋体" w:cs="Times New Roman"/>
          <w:bCs/>
          <w:i w:val="0"/>
          <w:iCs w:val="0"/>
          <w:caps w:val="0"/>
          <w:color w:val="000000" w:themeColor="text1"/>
          <w:spacing w:val="0"/>
          <w:sz w:val="24"/>
          <w:szCs w:val="24"/>
          <w:highlight w:val="none"/>
          <w:shd w:val="clear" w:fill="FFFFFF"/>
          <w:vertAlign w:val="baseline"/>
          <w:lang w:val="en-US" w:eastAsia="zh-CN"/>
          <w14:textFill>
            <w14:solidFill>
              <w14:schemeClr w14:val="tx1"/>
            </w14:solidFill>
          </w14:textFill>
        </w:rPr>
        <w:t>上述债权金额及抵质押物仅为一般性描述，如有错漏，以债务人、抵质押人等原已签署的交易合同、抵质押权证/抵质押登记现状和生效法律文书、司法执行现状为准。</w:t>
      </w:r>
    </w:p>
    <w:p w14:paraId="16E71843">
      <w:pPr>
        <w:pStyle w:val="29"/>
        <w:widowControl/>
        <w:numPr>
          <w:ilvl w:val="0"/>
          <w:numId w:val="0"/>
        </w:numPr>
        <w:pBdr>
          <w:top w:val="none" w:color="auto" w:sz="0" w:space="0"/>
          <w:left w:val="none" w:color="auto" w:sz="0" w:space="0"/>
          <w:bottom w:val="none" w:color="auto" w:sz="0" w:space="0"/>
          <w:right w:val="none" w:color="auto" w:sz="0" w:space="0"/>
        </w:pBdr>
        <w:tabs>
          <w:tab w:val="left" w:pos="4680"/>
        </w:tabs>
        <w:spacing w:line="400" w:lineRule="exact"/>
        <w:textAlignment w:val="baseline"/>
        <w:rPr>
          <w:rFonts w:hint="default" w:ascii="宋体" w:hAnsi="宋体" w:eastAsia="宋体" w:cs="Times New Roman"/>
          <w:bCs/>
          <w:i w:val="0"/>
          <w:iCs w:val="0"/>
          <w:caps w:val="0"/>
          <w:color w:val="000000" w:themeColor="text1"/>
          <w:spacing w:val="0"/>
          <w:sz w:val="24"/>
          <w:szCs w:val="24"/>
          <w:highlight w:val="none"/>
          <w:shd w:val="clear" w:fill="FFFFFF"/>
          <w:vertAlign w:val="baseline"/>
          <w:lang w:val="en-US" w:eastAsia="zh-CN"/>
          <w14:textFill>
            <w14:solidFill>
              <w14:schemeClr w14:val="tx1"/>
            </w14:solidFill>
          </w14:textFill>
        </w:rPr>
      </w:pPr>
    </w:p>
    <w:p w14:paraId="60EE7BA1">
      <w:pPr>
        <w:pStyle w:val="29"/>
        <w:tabs>
          <w:tab w:val="left" w:pos="4680"/>
        </w:tabs>
        <w:spacing w:line="400" w:lineRule="exact"/>
        <w:rPr>
          <w:rFonts w:hint="eastAsia" w:ascii="宋体" w:hAnsi="宋体"/>
          <w:bCs/>
          <w:color w:val="000000" w:themeColor="text1"/>
          <w:szCs w:val="24"/>
          <w14:textFill>
            <w14:solidFill>
              <w14:schemeClr w14:val="tx1"/>
            </w14:solidFill>
          </w14:textFill>
        </w:rPr>
      </w:pPr>
    </w:p>
    <w:p w14:paraId="720BCBD5">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656149FF">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24397389">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48AD83F3">
      <w:pPr>
        <w:pStyle w:val="29"/>
        <w:widowControl w:val="0"/>
        <w:tabs>
          <w:tab w:val="left" w:pos="4680"/>
        </w:tabs>
        <w:spacing w:line="560" w:lineRule="exact"/>
        <w:rPr>
          <w:rFonts w:hint="eastAsia" w:ascii="宋体" w:hAnsi="宋体"/>
          <w:b/>
          <w:bCs/>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 xml:space="preserve">        转让方：</w:t>
      </w:r>
      <w:r>
        <w:rPr>
          <w:rFonts w:hint="eastAsia" w:ascii="宋体" w:hAnsi="宋体" w:eastAsia="宋体" w:cs="Times New Roman"/>
          <w:b/>
          <w:color w:val="000000" w:themeColor="text1"/>
          <w:sz w:val="28"/>
          <w:szCs w:val="28"/>
          <w14:textFill>
            <w14:solidFill>
              <w14:schemeClr w14:val="tx1"/>
            </w14:solidFill>
          </w14:textFill>
        </w:rPr>
        <w:t>中国中信金融资产管理股份有限公司</w:t>
      </w:r>
      <w:r>
        <w:rPr>
          <w:rFonts w:hint="eastAsia" w:ascii="宋体" w:hAnsi="宋体" w:eastAsia="宋体" w:cs="Times New Roman"/>
          <w:b/>
          <w:color w:val="000000" w:themeColor="text1"/>
          <w:sz w:val="28"/>
          <w:szCs w:val="28"/>
          <w:lang w:val="en-US" w:eastAsia="zh-CN"/>
          <w14:textFill>
            <w14:solidFill>
              <w14:schemeClr w14:val="tx1"/>
            </w14:solidFill>
          </w14:textFill>
        </w:rPr>
        <w:t>贵州省</w:t>
      </w:r>
      <w:r>
        <w:rPr>
          <w:rFonts w:hint="eastAsia" w:ascii="宋体" w:hAnsi="宋体" w:eastAsia="宋体" w:cs="Times New Roman"/>
          <w:b/>
          <w:color w:val="000000" w:themeColor="text1"/>
          <w:sz w:val="28"/>
          <w:szCs w:val="28"/>
          <w14:textFill>
            <w14:solidFill>
              <w14:schemeClr w14:val="tx1"/>
            </w14:solidFill>
          </w14:textFill>
        </w:rPr>
        <w:t>分公司</w:t>
      </w:r>
    </w:p>
    <w:p w14:paraId="03FBCCFF">
      <w:pPr>
        <w:pStyle w:val="29"/>
        <w:widowControl w:val="0"/>
        <w:tabs>
          <w:tab w:val="left" w:pos="4680"/>
        </w:tabs>
        <w:spacing w:line="560" w:lineRule="exact"/>
        <w:rPr>
          <w:rFonts w:hint="eastAsia" w:ascii="宋体" w:hAnsi="宋体" w:eastAsia="宋体"/>
          <w:bCs/>
          <w:color w:val="000000" w:themeColor="text1"/>
          <w:sz w:val="28"/>
          <w:szCs w:val="28"/>
          <w:lang w:eastAsia="zh-CN"/>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法定代表人</w:t>
      </w: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Cs/>
          <w:color w:val="000000" w:themeColor="text1"/>
          <w:sz w:val="28"/>
          <w:szCs w:val="28"/>
          <w:lang w:val="en-US" w:eastAsia="zh-CN"/>
          <w14:textFill>
            <w14:solidFill>
              <w14:schemeClr w14:val="tx1"/>
            </w14:solidFill>
          </w14:textFill>
        </w:rPr>
        <w:t>张旭东</w:t>
      </w:r>
    </w:p>
    <w:p w14:paraId="55D59497">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2FBD6FC5">
      <w:pPr>
        <w:pStyle w:val="2"/>
        <w:numPr>
          <w:ilvl w:val="1"/>
          <w:numId w:val="0"/>
        </w:numPr>
        <w:tabs>
          <w:tab w:val="clear" w:pos="1260"/>
        </w:tabs>
        <w:rPr>
          <w:rFonts w:hint="eastAsia" w:asciiTheme="minorEastAsia" w:hAnsiTheme="minorEastAsia" w:eastAsiaTheme="minorEastAsia"/>
          <w:color w:val="000000" w:themeColor="text1"/>
          <w:sz w:val="24"/>
          <w:szCs w:val="24"/>
          <w14:textFill>
            <w14:solidFill>
              <w14:schemeClr w14:val="tx1"/>
            </w14:solidFill>
          </w14:textFill>
        </w:rPr>
      </w:pPr>
    </w:p>
    <w:p w14:paraId="6AED5BFF">
      <w:pPr>
        <w:rPr>
          <w:rFonts w:hint="eastAsia"/>
        </w:rPr>
      </w:pPr>
    </w:p>
    <w:p w14:paraId="7F97DB36">
      <w:pPr>
        <w:pStyle w:val="3"/>
        <w:numPr>
          <w:ilvl w:val="0"/>
          <w:numId w:val="0"/>
        </w:numPr>
        <w:jc w:val="left"/>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pPr>
      <w:bookmarkStart w:id="27" w:name="_Toc420939166"/>
      <w:bookmarkStart w:id="28" w:name="_Toc232937585"/>
      <w:bookmarkStart w:id="29" w:name="_Toc340744028"/>
      <w:r>
        <w:rPr>
          <w:rFonts w:asciiTheme="minorEastAsia" w:hAnsiTheme="minorEastAsia" w:eastAsiaTheme="minorEastAsia"/>
          <w:caps w:val="0"/>
          <w:color w:val="000000" w:themeColor="text1"/>
          <w:kern w:val="2"/>
          <w:sz w:val="28"/>
          <w:szCs w:val="28"/>
          <w:lang w:eastAsia="zh-CN"/>
          <w14:textFill>
            <w14:solidFill>
              <w14:schemeClr w14:val="tx1"/>
            </w14:solidFill>
          </w14:textFill>
        </w:rPr>
        <w:t>附件</w:t>
      </w: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二</w:t>
      </w:r>
      <w:r>
        <w:rPr>
          <w:rFonts w:asciiTheme="minorEastAsia" w:hAnsiTheme="minorEastAsia" w:eastAsiaTheme="minorEastAsia"/>
          <w:caps w:val="0"/>
          <w:color w:val="000000" w:themeColor="text1"/>
          <w:kern w:val="2"/>
          <w:sz w:val="28"/>
          <w:szCs w:val="28"/>
          <w:lang w:eastAsia="zh-CN"/>
          <w14:textFill>
            <w14:solidFill>
              <w14:schemeClr w14:val="tx1"/>
            </w14:solidFill>
          </w14:textFill>
        </w:rPr>
        <w:t>：债权转让与催收通知</w:t>
      </w: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及回执</w:t>
      </w:r>
      <w:r>
        <w:rPr>
          <w:rFonts w:asciiTheme="minorEastAsia" w:hAnsiTheme="minorEastAsia" w:eastAsiaTheme="minorEastAsia"/>
          <w:caps w:val="0"/>
          <w:color w:val="000000" w:themeColor="text1"/>
          <w:kern w:val="2"/>
          <w:sz w:val="28"/>
          <w:szCs w:val="28"/>
          <w:lang w:eastAsia="zh-CN"/>
          <w14:textFill>
            <w14:solidFill>
              <w14:schemeClr w14:val="tx1"/>
            </w14:solidFill>
          </w14:textFill>
        </w:rPr>
        <w:t>（样本）</w:t>
      </w:r>
      <w:bookmarkEnd w:id="27"/>
      <w:bookmarkEnd w:id="28"/>
      <w:bookmarkEnd w:id="29"/>
    </w:p>
    <w:p w14:paraId="6A6D5396">
      <w:pPr>
        <w:pStyle w:val="35"/>
        <w:spacing w:after="240" w:line="400" w:lineRule="exact"/>
        <w:jc w:val="both"/>
        <w:rPr>
          <w:rFonts w:hint="eastAsia" w:asciiTheme="minorEastAsia" w:hAnsiTheme="minorEastAsia" w:eastAsiaTheme="minorEastAsia"/>
          <w:color w:val="000000" w:themeColor="text1"/>
          <w14:textFill>
            <w14:solidFill>
              <w14:schemeClr w14:val="tx1"/>
            </w14:solidFill>
          </w14:textFill>
        </w:rPr>
      </w:pPr>
    </w:p>
    <w:p w14:paraId="2090D9E8">
      <w:pPr>
        <w:pStyle w:val="35"/>
        <w:spacing w:after="240" w:line="400" w:lineRule="exact"/>
        <w:rPr>
          <w:rFonts w:hint="eastAsia"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b/>
          <w:color w:val="000000" w:themeColor="text1"/>
          <w:szCs w:val="24"/>
          <w14:textFill>
            <w14:solidFill>
              <w14:schemeClr w14:val="tx1"/>
            </w14:solidFill>
          </w14:textFill>
        </w:rPr>
        <w:t>债权转让与催收通知</w:t>
      </w:r>
    </w:p>
    <w:p w14:paraId="3ED2C74D">
      <w:pPr>
        <w:spacing w:after="240" w:line="400" w:lineRule="exact"/>
        <w:ind w:right="17"/>
        <w:jc w:val="right"/>
        <w:rPr>
          <w:rFonts w:hint="eastAsia"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编号：____________</w:t>
      </w:r>
    </w:p>
    <w:p w14:paraId="636B48B1">
      <w:pPr>
        <w:spacing w:after="240" w:line="400" w:lineRule="exact"/>
        <w:rPr>
          <w:rFonts w:hint="eastAsia"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致：【相关借款人和担保人的姓名和住址】</w:t>
      </w:r>
    </w:p>
    <w:p w14:paraId="5E3792C6">
      <w:pPr>
        <w:spacing w:after="240" w:line="400" w:lineRule="exact"/>
        <w:ind w:firstLine="480"/>
        <w:rPr>
          <w:rFonts w:hint="eastAsia"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______年__月__日，中国</w:t>
      </w:r>
      <w:r>
        <w:rPr>
          <w:rFonts w:hint="eastAsia" w:asciiTheme="minorEastAsia" w:hAnsiTheme="minorEastAsia" w:eastAsiaTheme="minorEastAsia"/>
          <w:color w:val="000000" w:themeColor="text1"/>
          <w:sz w:val="24"/>
          <w14:textFill>
            <w14:solidFill>
              <w14:schemeClr w14:val="tx1"/>
            </w14:solidFill>
          </w14:textFill>
        </w:rPr>
        <w:t>中信金融资产管理股份有限公司</w:t>
      </w:r>
      <w:r>
        <w:rPr>
          <w:rFonts w:hint="eastAsia" w:asciiTheme="minorEastAsia" w:hAnsiTheme="minorEastAsia" w:eastAsiaTheme="minorEastAsia"/>
          <w:color w:val="000000" w:themeColor="text1"/>
          <w:sz w:val="24"/>
          <w:lang w:val="en-US" w:eastAsia="zh-CN"/>
          <w14:textFill>
            <w14:solidFill>
              <w14:schemeClr w14:val="tx1"/>
            </w14:solidFill>
          </w14:textFill>
        </w:rPr>
        <w:t>贵州省</w:t>
      </w:r>
      <w:r>
        <w:rPr>
          <w:rFonts w:hint="eastAsia" w:asciiTheme="minorEastAsia" w:hAnsiTheme="minorEastAsia" w:eastAsiaTheme="minorEastAsia"/>
          <w:color w:val="000000" w:themeColor="text1"/>
          <w:sz w:val="24"/>
          <w14:textFill>
            <w14:solidFill>
              <w14:schemeClr w14:val="tx1"/>
            </w14:solidFill>
          </w14:textFill>
        </w:rPr>
        <w:t>分公司</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中信金资</w:t>
      </w:r>
      <w:r>
        <w:rPr>
          <w:rFonts w:asciiTheme="minorEastAsia" w:hAnsiTheme="minorEastAsia" w:eastAsiaTheme="minorEastAsia"/>
          <w:color w:val="000000" w:themeColor="text1"/>
          <w:sz w:val="24"/>
          <w14:textFill>
            <w14:solidFill>
              <w14:schemeClr w14:val="tx1"/>
            </w14:solidFill>
          </w14:textFill>
        </w:rPr>
        <w:t>”）与______________________签署《债权转让协议》，</w:t>
      </w:r>
      <w:r>
        <w:rPr>
          <w:rFonts w:hint="eastAsia" w:asciiTheme="minorEastAsia" w:hAnsiTheme="minorEastAsia" w:eastAsiaTheme="minorEastAsia"/>
          <w:color w:val="000000" w:themeColor="text1"/>
          <w:sz w:val="24"/>
          <w14:textFill>
            <w14:solidFill>
              <w14:schemeClr w14:val="tx1"/>
            </w14:solidFill>
          </w14:textFill>
        </w:rPr>
        <w:t>中信金资</w:t>
      </w:r>
      <w:r>
        <w:rPr>
          <w:rFonts w:asciiTheme="minorEastAsia" w:hAnsiTheme="minorEastAsia" w:eastAsiaTheme="minorEastAsia"/>
          <w:color w:val="000000" w:themeColor="text1"/>
          <w:sz w:val="24"/>
          <w14:textFill>
            <w14:solidFill>
              <w14:schemeClr w14:val="tx1"/>
            </w14:solidFill>
          </w14:textFill>
        </w:rPr>
        <w:t>将其依法享有的</w:t>
      </w:r>
      <w:r>
        <w:rPr>
          <w:rFonts w:asciiTheme="minorEastAsia" w:hAnsiTheme="minorEastAsia" w:eastAsiaTheme="minorEastAsia"/>
          <w:color w:val="000000" w:themeColor="text1"/>
          <w:sz w:val="24"/>
          <w:u w:val="single"/>
          <w14:textFill>
            <w14:solidFill>
              <w14:schemeClr w14:val="tx1"/>
            </w14:solidFill>
          </w14:textFill>
        </w:rPr>
        <w:t>附表A</w:t>
      </w:r>
      <w:r>
        <w:rPr>
          <w:rFonts w:asciiTheme="minorEastAsia" w:hAnsiTheme="minorEastAsia" w:eastAsiaTheme="minorEastAsia"/>
          <w:color w:val="000000" w:themeColor="text1"/>
          <w:sz w:val="24"/>
          <w14:textFill>
            <w14:solidFill>
              <w14:schemeClr w14:val="tx1"/>
            </w14:solidFill>
          </w14:textFill>
        </w:rPr>
        <w:t>中所列借款人和担保人的债权及担保权利转让给_________________，原</w:t>
      </w:r>
      <w:r>
        <w:rPr>
          <w:rFonts w:hint="eastAsia" w:asciiTheme="minorEastAsia" w:hAnsiTheme="minorEastAsia" w:eastAsiaTheme="minorEastAsia"/>
          <w:color w:val="000000" w:themeColor="text1"/>
          <w:sz w:val="24"/>
          <w14:textFill>
            <w14:solidFill>
              <w14:schemeClr w14:val="tx1"/>
            </w14:solidFill>
          </w14:textFill>
        </w:rPr>
        <w:t>协议</w:t>
      </w:r>
      <w:r>
        <w:rPr>
          <w:rFonts w:asciiTheme="minorEastAsia" w:hAnsiTheme="minorEastAsia" w:eastAsiaTheme="minorEastAsia"/>
          <w:color w:val="000000" w:themeColor="text1"/>
          <w:sz w:val="24"/>
          <w14:textFill>
            <w14:solidFill>
              <w14:schemeClr w14:val="tx1"/>
            </w14:solidFill>
          </w14:textFill>
        </w:rPr>
        <w:t>内容不变。</w:t>
      </w:r>
    </w:p>
    <w:p w14:paraId="2CDA3472">
      <w:pPr>
        <w:spacing w:after="240" w:line="400" w:lineRule="exact"/>
        <w:ind w:firstLine="48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中信金资</w:t>
      </w:r>
      <w:r>
        <w:rPr>
          <w:rFonts w:asciiTheme="minorEastAsia" w:hAnsiTheme="minorEastAsia" w:eastAsiaTheme="minorEastAsia"/>
          <w:color w:val="000000" w:themeColor="text1"/>
          <w:sz w:val="24"/>
          <w14:textFill>
            <w14:solidFill>
              <w14:schemeClr w14:val="tx1"/>
            </w14:solidFill>
          </w14:textFill>
        </w:rPr>
        <w:t>作为上述债权和担保权利的转让方、以及______________________作为上述债权和担保权利的受让方，特此要求借款人/担保人、或借款人/担保人的权利义务承继人，自收到本通知之日起，向________________________________履行主债权/担保</w:t>
      </w:r>
      <w:r>
        <w:rPr>
          <w:rFonts w:hint="eastAsia" w:asciiTheme="minorEastAsia" w:hAnsiTheme="minorEastAsia" w:eastAsiaTheme="minorEastAsia"/>
          <w:color w:val="000000" w:themeColor="text1"/>
          <w:sz w:val="24"/>
          <w14:textFill>
            <w14:solidFill>
              <w14:schemeClr w14:val="tx1"/>
            </w14:solidFill>
          </w14:textFill>
        </w:rPr>
        <w:t>协议</w:t>
      </w:r>
      <w:r>
        <w:rPr>
          <w:rFonts w:asciiTheme="minorEastAsia" w:hAnsiTheme="minorEastAsia" w:eastAsiaTheme="minorEastAsia"/>
          <w:color w:val="000000" w:themeColor="text1"/>
          <w:sz w:val="24"/>
          <w14:textFill>
            <w14:solidFill>
              <w14:schemeClr w14:val="tx1"/>
            </w14:solidFill>
          </w14:textFill>
        </w:rPr>
        <w:t>约定的还本付息义务/担保责任。</w:t>
      </w:r>
    </w:p>
    <w:p w14:paraId="745B3FF1">
      <w:pPr>
        <w:spacing w:after="240" w:line="400" w:lineRule="exact"/>
        <w:ind w:firstLine="480"/>
        <w:rPr>
          <w:rFonts w:hint="eastAsia"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特此通知。</w:t>
      </w:r>
    </w:p>
    <w:tbl>
      <w:tblPr>
        <w:tblStyle w:val="15"/>
        <w:tblW w:w="9456" w:type="dxa"/>
        <w:tblInd w:w="0" w:type="dxa"/>
        <w:tblLayout w:type="fixed"/>
        <w:tblCellMar>
          <w:top w:w="0" w:type="dxa"/>
          <w:left w:w="108" w:type="dxa"/>
          <w:bottom w:w="0" w:type="dxa"/>
          <w:right w:w="108" w:type="dxa"/>
        </w:tblCellMar>
      </w:tblPr>
      <w:tblGrid>
        <w:gridCol w:w="5211"/>
        <w:gridCol w:w="4245"/>
      </w:tblGrid>
      <w:tr w14:paraId="45A56D68">
        <w:tblPrEx>
          <w:tblCellMar>
            <w:top w:w="0" w:type="dxa"/>
            <w:left w:w="108" w:type="dxa"/>
            <w:bottom w:w="0" w:type="dxa"/>
            <w:right w:w="108" w:type="dxa"/>
          </w:tblCellMar>
        </w:tblPrEx>
        <w:tc>
          <w:tcPr>
            <w:tcW w:w="5211" w:type="dxa"/>
            <w:vAlign w:val="center"/>
          </w:tcPr>
          <w:p w14:paraId="5862C5E2">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转让方：中国中信金融资产管理股份有限公司</w:t>
            </w:r>
          </w:p>
          <w:p w14:paraId="083EF6BE">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贵州省</w:t>
            </w:r>
            <w:r>
              <w:rPr>
                <w:rFonts w:hint="eastAsia" w:asciiTheme="minorEastAsia" w:hAnsiTheme="minorEastAsia" w:eastAsiaTheme="minorEastAsia"/>
                <w:color w:val="000000" w:themeColor="text1"/>
                <w:sz w:val="24"/>
                <w14:textFill>
                  <w14:solidFill>
                    <w14:schemeClr w14:val="tx1"/>
                  </w14:solidFill>
                </w14:textFill>
              </w:rPr>
              <w:t>分公司（盖章）</w:t>
            </w:r>
          </w:p>
          <w:p w14:paraId="4A7C2C6E">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p w14:paraId="6F9AF4BB">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tc>
        <w:tc>
          <w:tcPr>
            <w:tcW w:w="4245" w:type="dxa"/>
            <w:vAlign w:val="center"/>
          </w:tcPr>
          <w:p w14:paraId="45F71A18">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受让方：</w:t>
            </w:r>
          </w:p>
          <w:p w14:paraId="5F3C62F1">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（盖章）</w:t>
            </w:r>
          </w:p>
          <w:p w14:paraId="64A14945">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p w14:paraId="5A01A1C6">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tc>
      </w:tr>
      <w:tr w14:paraId="1FAD0A64">
        <w:tblPrEx>
          <w:tblCellMar>
            <w:top w:w="0" w:type="dxa"/>
            <w:left w:w="108" w:type="dxa"/>
            <w:bottom w:w="0" w:type="dxa"/>
            <w:right w:w="108" w:type="dxa"/>
          </w:tblCellMar>
        </w:tblPrEx>
        <w:tc>
          <w:tcPr>
            <w:tcW w:w="5211" w:type="dxa"/>
            <w:vAlign w:val="center"/>
          </w:tcPr>
          <w:p w14:paraId="1314993C">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负责人/授权代理人：</w:t>
            </w:r>
            <w:r>
              <w:rPr>
                <w:rFonts w:hint="eastAsia" w:asciiTheme="minorEastAsia" w:hAnsiTheme="minorEastAsia" w:eastAsiaTheme="minorEastAsia"/>
                <w:color w:val="000000" w:themeColor="text1"/>
                <w:sz w:val="24"/>
                <w:lang w:val="en-US" w:eastAsia="zh-CN"/>
                <w14:textFill>
                  <w14:solidFill>
                    <w14:schemeClr w14:val="tx1"/>
                  </w14:solidFill>
                </w14:textFill>
              </w:rPr>
              <w:t>张旭东</w:t>
            </w:r>
          </w:p>
          <w:p w14:paraId="6FD460DB">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p w14:paraId="2C61525B">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tc>
        <w:tc>
          <w:tcPr>
            <w:tcW w:w="4245" w:type="dxa"/>
            <w:vAlign w:val="center"/>
          </w:tcPr>
          <w:p w14:paraId="6C7E6764">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法定代表人/负责人/授权代理人：</w:t>
            </w:r>
          </w:p>
          <w:p w14:paraId="65846CAC">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p w14:paraId="191D963C">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tc>
      </w:tr>
      <w:tr w14:paraId="12EA6AFD">
        <w:tblPrEx>
          <w:tblCellMar>
            <w:top w:w="0" w:type="dxa"/>
            <w:left w:w="108" w:type="dxa"/>
            <w:bottom w:w="0" w:type="dxa"/>
            <w:right w:w="108" w:type="dxa"/>
          </w:tblCellMar>
        </w:tblPrEx>
        <w:tc>
          <w:tcPr>
            <w:tcW w:w="5211" w:type="dxa"/>
            <w:vAlign w:val="center"/>
          </w:tcPr>
          <w:p w14:paraId="5DA0829D">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地址：</w:t>
            </w:r>
          </w:p>
        </w:tc>
        <w:tc>
          <w:tcPr>
            <w:tcW w:w="4245" w:type="dxa"/>
            <w:vAlign w:val="center"/>
          </w:tcPr>
          <w:p w14:paraId="7FE65B18">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地址：</w:t>
            </w:r>
          </w:p>
        </w:tc>
      </w:tr>
      <w:tr w14:paraId="56EE3200">
        <w:tblPrEx>
          <w:tblCellMar>
            <w:top w:w="0" w:type="dxa"/>
            <w:left w:w="108" w:type="dxa"/>
            <w:bottom w:w="0" w:type="dxa"/>
            <w:right w:w="108" w:type="dxa"/>
          </w:tblCellMar>
        </w:tblPrEx>
        <w:tc>
          <w:tcPr>
            <w:tcW w:w="5211" w:type="dxa"/>
            <w:vAlign w:val="center"/>
          </w:tcPr>
          <w:p w14:paraId="602F2B15">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联系电话：</w:t>
            </w:r>
          </w:p>
        </w:tc>
        <w:tc>
          <w:tcPr>
            <w:tcW w:w="4245" w:type="dxa"/>
            <w:vAlign w:val="center"/>
          </w:tcPr>
          <w:p w14:paraId="7AFEDC99">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联系电话：</w:t>
            </w:r>
          </w:p>
        </w:tc>
      </w:tr>
    </w:tbl>
    <w:p w14:paraId="405498F7">
      <w:pPr>
        <w:pStyle w:val="35"/>
        <w:spacing w:after="240" w:line="400" w:lineRule="exact"/>
        <w:jc w:val="right"/>
        <w:rPr>
          <w:rFonts w:hint="eastAsia" w:asciiTheme="minorEastAsia" w:hAnsiTheme="minorEastAsia" w:eastAsiaTheme="minorEastAsia"/>
          <w:b/>
          <w:color w:val="000000" w:themeColor="text1"/>
          <w14:textFill>
            <w14:solidFill>
              <w14:schemeClr w14:val="tx1"/>
            </w14:solidFill>
          </w14:textFill>
        </w:rPr>
      </w:pPr>
      <w:bookmarkStart w:id="30" w:name="_Toc341252069"/>
      <w:bookmarkStart w:id="31" w:name="_Toc340744029"/>
      <w:r>
        <w:rPr>
          <w:rFonts w:asciiTheme="minorEastAsia" w:hAnsiTheme="minorEastAsia" w:eastAsiaTheme="minorEastAsia"/>
          <w:b/>
          <w:color w:val="000000" w:themeColor="text1"/>
          <w:szCs w:val="24"/>
          <w14:textFill>
            <w14:solidFill>
              <w14:schemeClr w14:val="tx1"/>
            </w14:solidFill>
          </w14:textFill>
        </w:rPr>
        <w:t>日期：____年____月____日</w:t>
      </w:r>
      <w:bookmarkEnd w:id="30"/>
      <w:bookmarkEnd w:id="31"/>
    </w:p>
    <w:p w14:paraId="2CDEA442">
      <w:pPr>
        <w:spacing w:after="240" w:line="400" w:lineRule="exact"/>
        <w:jc w:val="center"/>
        <w:rPr>
          <w:rFonts w:hint="eastAsia"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br w:type="page"/>
      </w:r>
      <w:r>
        <w:rPr>
          <w:rFonts w:asciiTheme="minorEastAsia" w:hAnsiTheme="minorEastAsia" w:eastAsiaTheme="minorEastAsia"/>
          <w:b/>
          <w:color w:val="000000" w:themeColor="text1"/>
          <w14:textFill>
            <w14:solidFill>
              <w14:schemeClr w14:val="tx1"/>
            </w14:solidFill>
          </w14:textFill>
        </w:rPr>
        <w:t>附表A</w:t>
      </w:r>
      <w:r>
        <w:rPr>
          <w:rFonts w:asciiTheme="minorEastAsia" w:hAnsiTheme="minorEastAsia" w:eastAsiaTheme="minorEastAsia"/>
          <w:b/>
          <w:color w:val="000000" w:themeColor="text1"/>
          <w14:textFill>
            <w14:solidFill>
              <w14:schemeClr w14:val="tx1"/>
            </w14:solidFill>
          </w14:textFill>
        </w:rPr>
        <w:br w:type="textWrapping" w:clear="all"/>
      </w:r>
      <w:r>
        <w:rPr>
          <w:rFonts w:asciiTheme="minorEastAsia" w:hAnsiTheme="minorEastAsia" w:eastAsiaTheme="minorEastAsia"/>
          <w:color w:val="000000" w:themeColor="text1"/>
          <w:szCs w:val="21"/>
          <w:u w:val="single"/>
          <w14:textFill>
            <w14:solidFill>
              <w14:schemeClr w14:val="tx1"/>
            </w14:solidFill>
          </w14:textFill>
        </w:rPr>
        <w:t>____</w:t>
      </w:r>
      <w:r>
        <w:rPr>
          <w:rFonts w:asciiTheme="minorEastAsia" w:hAnsiTheme="minorEastAsia" w:eastAsiaTheme="minorEastAsia"/>
          <w:color w:val="000000" w:themeColor="text1"/>
          <w:szCs w:val="21"/>
          <w14:textFill>
            <w14:solidFill>
              <w14:schemeClr w14:val="tx1"/>
            </w14:solidFill>
          </w14:textFill>
        </w:rPr>
        <w:t>号《债权转让与催收通知》项下</w:t>
      </w:r>
      <w:r>
        <w:rPr>
          <w:rFonts w:hint="eastAsia" w:asciiTheme="minorEastAsia" w:hAnsiTheme="minorEastAsia" w:eastAsiaTheme="minorEastAsia"/>
          <w:b/>
          <w:color w:val="000000" w:themeColor="text1"/>
          <w14:textFill>
            <w14:solidFill>
              <w14:schemeClr w14:val="tx1"/>
            </w14:solidFill>
          </w14:textFill>
        </w:rPr>
        <w:t>债权</w:t>
      </w:r>
      <w:r>
        <w:rPr>
          <w:rFonts w:asciiTheme="minorEastAsia" w:hAnsiTheme="minorEastAsia" w:eastAsiaTheme="minorEastAsia"/>
          <w:b/>
          <w:color w:val="000000" w:themeColor="text1"/>
          <w14:textFill>
            <w14:solidFill>
              <w14:schemeClr w14:val="tx1"/>
            </w14:solidFill>
          </w14:textFill>
        </w:rPr>
        <w:t>明细表</w:t>
      </w:r>
    </w:p>
    <w:tbl>
      <w:tblPr>
        <w:tblStyle w:val="15"/>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381"/>
        <w:gridCol w:w="2126"/>
        <w:gridCol w:w="2126"/>
      </w:tblGrid>
      <w:tr w14:paraId="3A25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14:paraId="030AD6F5">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借款人名称</w:t>
            </w:r>
          </w:p>
        </w:tc>
        <w:tc>
          <w:tcPr>
            <w:tcW w:w="2381" w:type="dxa"/>
            <w:vAlign w:val="center"/>
          </w:tcPr>
          <w:p w14:paraId="14C91444">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借款协议名称、编号（或协议签订时间）</w:t>
            </w:r>
          </w:p>
        </w:tc>
        <w:tc>
          <w:tcPr>
            <w:tcW w:w="2126" w:type="dxa"/>
            <w:vAlign w:val="center"/>
          </w:tcPr>
          <w:p w14:paraId="41350BAA">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担保人（包括保证人、抵押人、质押人）名称</w:t>
            </w:r>
          </w:p>
        </w:tc>
        <w:tc>
          <w:tcPr>
            <w:tcW w:w="2126" w:type="dxa"/>
            <w:vAlign w:val="center"/>
          </w:tcPr>
          <w:p w14:paraId="3C24A089">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担保协议名称、编号（或协议签订时间</w:t>
            </w:r>
          </w:p>
        </w:tc>
      </w:tr>
      <w:tr w14:paraId="23056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6BB95BA9">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14:paraId="049C3515">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20ACDFCD">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0C8F1BE1">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14:paraId="33E8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3AB77D7">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14:paraId="188FCD3C">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49A8B7D6">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6E969C0D">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14:paraId="43B0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2F3EBF93">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14:paraId="44A0E275">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340CEDAF">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4E1F0C80">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14:paraId="22FE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2EC21138">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14:paraId="1FB61739">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4CB40F7B">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21A15689">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14:paraId="3191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9F6EEB7">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14:paraId="3FFA290E">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39DA1D2F">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40F83BA4">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14:paraId="2D78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585A4391">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14:paraId="4DEBB77B">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4A4ED0FA">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14:paraId="02EB9EF7">
            <w:pPr>
              <w:pStyle w:val="29"/>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bl>
    <w:p w14:paraId="0A68A070">
      <w:pPr>
        <w:spacing w:before="80" w:after="80" w:line="360" w:lineRule="auto"/>
        <w:jc w:val="center"/>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回　执</w:t>
      </w:r>
    </w:p>
    <w:p w14:paraId="350144DF">
      <w:pPr>
        <w:spacing w:before="80" w:after="80" w:line="360" w:lineRule="auto"/>
        <w:ind w:right="-153" w:rightChars="-73" w:firstLine="495" w:firstLineChars="236"/>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本债务人已收到____号《债权转让与催收通知》及所附债权明细表。对上述通知所列中国</w:t>
      </w:r>
      <w:r>
        <w:rPr>
          <w:rFonts w:hint="eastAsia" w:asciiTheme="minorEastAsia" w:hAnsiTheme="minorEastAsia" w:eastAsiaTheme="minorEastAsia"/>
          <w:color w:val="000000" w:themeColor="text1"/>
          <w:szCs w:val="21"/>
          <w14:textFill>
            <w14:solidFill>
              <w14:schemeClr w14:val="tx1"/>
            </w14:solidFill>
          </w14:textFill>
        </w:rPr>
        <w:t>中信金融资产管理股份有限公司</w:t>
      </w:r>
      <w:r>
        <w:rPr>
          <w:rFonts w:hint="eastAsia" w:asciiTheme="minorEastAsia" w:hAnsiTheme="minorEastAsia" w:eastAsiaTheme="minorEastAsia"/>
          <w:color w:val="000000" w:themeColor="text1"/>
          <w:szCs w:val="21"/>
          <w:lang w:val="en-US" w:eastAsia="zh-CN"/>
          <w14:textFill>
            <w14:solidFill>
              <w14:schemeClr w14:val="tx1"/>
            </w14:solidFill>
          </w14:textFill>
        </w:rPr>
        <w:t>贵州省</w:t>
      </w:r>
      <w:r>
        <w:rPr>
          <w:rFonts w:hint="eastAsia" w:asciiTheme="minorEastAsia" w:hAnsiTheme="minorEastAsia" w:eastAsiaTheme="minorEastAsia"/>
          <w:color w:val="000000" w:themeColor="text1"/>
          <w:szCs w:val="21"/>
          <w14:textFill>
            <w14:solidFill>
              <w14:schemeClr w14:val="tx1"/>
            </w14:solidFill>
          </w14:textFill>
        </w:rPr>
        <w:t>分公司</w:t>
      </w:r>
      <w:r>
        <w:rPr>
          <w:rFonts w:asciiTheme="minorEastAsia" w:hAnsiTheme="minorEastAsia" w:eastAsiaTheme="minorEastAsia"/>
          <w:color w:val="000000" w:themeColor="text1"/>
          <w:szCs w:val="21"/>
          <w14:textFill>
            <w14:solidFill>
              <w14:schemeClr w14:val="tx1"/>
            </w14:solidFill>
          </w14:textFill>
        </w:rPr>
        <w:t>与______________债权转让事项不持任何异议，并愿向______________________________履行上述借款</w:t>
      </w:r>
      <w:r>
        <w:rPr>
          <w:rFonts w:hint="eastAsia" w:asciiTheme="minorEastAsia" w:hAnsiTheme="minorEastAsia" w:eastAsiaTheme="minorEastAsia"/>
          <w:color w:val="000000" w:themeColor="text1"/>
          <w:szCs w:val="21"/>
          <w14:textFill>
            <w14:solidFill>
              <w14:schemeClr w14:val="tx1"/>
            </w14:solidFill>
          </w14:textFill>
        </w:rPr>
        <w:t>协议</w:t>
      </w:r>
      <w:r>
        <w:rPr>
          <w:rFonts w:asciiTheme="minorEastAsia" w:hAnsiTheme="minorEastAsia" w:eastAsiaTheme="minorEastAsia"/>
          <w:color w:val="000000" w:themeColor="text1"/>
          <w:szCs w:val="21"/>
          <w14:textFill>
            <w14:solidFill>
              <w14:schemeClr w14:val="tx1"/>
            </w14:solidFill>
          </w14:textFill>
        </w:rPr>
        <w:t>项下的全部义务。特此回执。</w:t>
      </w:r>
    </w:p>
    <w:p w14:paraId="18CD5888">
      <w:pPr>
        <w:spacing w:before="80" w:after="80" w:line="360" w:lineRule="auto"/>
        <w:ind w:firstLine="3717" w:firstLineChars="1770"/>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债务人（签章）：     年     月     日</w:t>
      </w:r>
    </w:p>
    <w:p w14:paraId="28886942">
      <w:pPr>
        <w:spacing w:before="80" w:after="80" w:line="360" w:lineRule="auto"/>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债务人地址：                             邮编：            电话：</w:t>
      </w:r>
    </w:p>
    <w:p w14:paraId="055E5E02">
      <w:pPr>
        <w:spacing w:before="80" w:after="80" w:line="360" w:lineRule="auto"/>
        <w:ind w:firstLine="645"/>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――――――――――――――――――――――――――――――（骑缝章）</w:t>
      </w:r>
    </w:p>
    <w:p w14:paraId="75C0F6B4">
      <w:pPr>
        <w:spacing w:before="80" w:after="80" w:line="360" w:lineRule="auto"/>
        <w:jc w:val="center"/>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回执</w:t>
      </w:r>
    </w:p>
    <w:p w14:paraId="15E8F373">
      <w:pPr>
        <w:spacing w:before="80" w:after="80" w:line="360" w:lineRule="auto"/>
        <w:ind w:right="-153" w:rightChars="-73" w:firstLine="495" w:firstLineChars="236"/>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本担保人已收到</w:t>
      </w:r>
      <w:r>
        <w:rPr>
          <w:rFonts w:asciiTheme="minorEastAsia" w:hAnsiTheme="minorEastAsia" w:eastAsiaTheme="minorEastAsia"/>
          <w:color w:val="000000" w:themeColor="text1"/>
          <w:szCs w:val="21"/>
          <w:u w:val="single"/>
          <w14:textFill>
            <w14:solidFill>
              <w14:schemeClr w14:val="tx1"/>
            </w14:solidFill>
          </w14:textFill>
        </w:rPr>
        <w:t>____</w:t>
      </w:r>
      <w:r>
        <w:rPr>
          <w:rFonts w:asciiTheme="minorEastAsia" w:hAnsiTheme="minorEastAsia" w:eastAsiaTheme="minorEastAsia"/>
          <w:color w:val="000000" w:themeColor="text1"/>
          <w:szCs w:val="21"/>
          <w14:textFill>
            <w14:solidFill>
              <w14:schemeClr w14:val="tx1"/>
            </w14:solidFill>
          </w14:textFill>
        </w:rPr>
        <w:t>号《债权转让与催收通知》及所附债权明细表，获悉上述通知所列中国</w:t>
      </w:r>
      <w:r>
        <w:rPr>
          <w:rFonts w:hint="eastAsia" w:asciiTheme="minorEastAsia" w:hAnsiTheme="minorEastAsia" w:eastAsiaTheme="minorEastAsia"/>
          <w:color w:val="000000" w:themeColor="text1"/>
          <w:szCs w:val="21"/>
          <w14:textFill>
            <w14:solidFill>
              <w14:schemeClr w14:val="tx1"/>
            </w14:solidFill>
          </w14:textFill>
        </w:rPr>
        <w:t>中信金融资产管理股份有限公司</w:t>
      </w:r>
      <w:r>
        <w:rPr>
          <w:rFonts w:hint="eastAsia" w:asciiTheme="minorEastAsia" w:hAnsiTheme="minorEastAsia" w:eastAsiaTheme="minorEastAsia"/>
          <w:color w:val="000000" w:themeColor="text1"/>
          <w:szCs w:val="21"/>
          <w:lang w:val="en-US" w:eastAsia="zh-CN"/>
          <w14:textFill>
            <w14:solidFill>
              <w14:schemeClr w14:val="tx1"/>
            </w14:solidFill>
          </w14:textFill>
        </w:rPr>
        <w:t>贵州省</w:t>
      </w:r>
      <w:r>
        <w:rPr>
          <w:rFonts w:hint="eastAsia" w:asciiTheme="minorEastAsia" w:hAnsiTheme="minorEastAsia" w:eastAsiaTheme="minorEastAsia"/>
          <w:color w:val="000000" w:themeColor="text1"/>
          <w:szCs w:val="21"/>
          <w14:textFill>
            <w14:solidFill>
              <w14:schemeClr w14:val="tx1"/>
            </w14:solidFill>
          </w14:textFill>
        </w:rPr>
        <w:t>分公司</w:t>
      </w:r>
      <w:r>
        <w:rPr>
          <w:rFonts w:asciiTheme="minorEastAsia" w:hAnsiTheme="minorEastAsia" w:eastAsiaTheme="minorEastAsia"/>
          <w:color w:val="000000" w:themeColor="text1"/>
          <w:szCs w:val="21"/>
          <w14:textFill>
            <w14:solidFill>
              <w14:schemeClr w14:val="tx1"/>
            </w14:solidFill>
          </w14:textFill>
        </w:rPr>
        <w:t>与___________________债权转让事项，并愿向______________________________履行上述担保义务。特此回复。</w:t>
      </w:r>
    </w:p>
    <w:p w14:paraId="2E94D776">
      <w:pPr>
        <w:spacing w:before="80" w:after="80" w:line="360" w:lineRule="auto"/>
        <w:ind w:left="-178" w:leftChars="-85" w:right="-153" w:rightChars="-73" w:firstLine="4004" w:firstLineChars="1907"/>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担保人（签章）：     年     月     日</w:t>
      </w:r>
    </w:p>
    <w:p w14:paraId="09B7CAEF">
      <w:pPr>
        <w:spacing w:before="80" w:after="80" w:line="360" w:lineRule="auto"/>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担保人地址：                             邮编：            电话：</w:t>
      </w:r>
    </w:p>
    <w:p w14:paraId="563FD657">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14:paraId="6837DA86">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atang">
    <w:altName w:val="Malgun Gothic"/>
    <w:panose1 w:val="02030600000101010101"/>
    <w:charset w:val="81"/>
    <w:family w:val="roman"/>
    <w:pitch w:val="default"/>
    <w:sig w:usb0="00000000" w:usb1="00000000" w:usb2="00000030" w:usb3="00000000" w:csb0="0008009F"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8630221"/>
    </w:sdtPr>
    <w:sdtContent>
      <w:sdt>
        <w:sdtPr>
          <w:id w:val="-1"/>
        </w:sdtPr>
        <w:sdtContent>
          <w:p w14:paraId="2264D338">
            <w:pPr>
              <w:pStyle w:val="1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33</w:t>
            </w:r>
            <w:r>
              <w:rPr>
                <w:b/>
                <w:bCs/>
                <w:sz w:val="24"/>
                <w:szCs w:val="24"/>
              </w:rPr>
              <w:fldChar w:fldCharType="end"/>
            </w:r>
          </w:p>
        </w:sdtContent>
      </w:sdt>
    </w:sdtContent>
  </w:sdt>
  <w:p w14:paraId="1D88630C">
    <w:pPr>
      <w:pStyle w:val="10"/>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3"/>
      <w:suff w:val="nothing"/>
      <w:lvlText w:val="第 %1 条"/>
      <w:lvlJc w:val="left"/>
      <w:pPr>
        <w:tabs>
          <w:tab w:val="left" w:pos="0"/>
        </w:tabs>
        <w:ind w:left="0" w:firstLine="0"/>
      </w:pPr>
      <w:rPr>
        <w:b/>
        <w:i w:val="0"/>
        <w:caps w:val="0"/>
        <w:smallCaps w:val="0"/>
        <w:strike w:val="0"/>
        <w:dstrike w:val="0"/>
        <w:vanish w:val="0"/>
        <w:color w:val="000000"/>
        <w:spacing w:val="20"/>
        <w:w w:val="100"/>
        <w:kern w:val="0"/>
        <w:position w:val="0"/>
        <w:sz w:val="28"/>
        <w:u w:val="none"/>
        <w:vertAlign w:val="baseline"/>
      </w:rPr>
    </w:lvl>
    <w:lvl w:ilvl="1" w:tentative="0">
      <w:start w:val="1"/>
      <w:numFmt w:val="decimal"/>
      <w:pStyle w:val="2"/>
      <w:isLgl/>
      <w:lvlText w:val="%1.%2"/>
      <w:lvlJc w:val="left"/>
      <w:pPr>
        <w:tabs>
          <w:tab w:val="left" w:pos="1260"/>
        </w:tabs>
        <w:ind w:left="1260" w:firstLine="0"/>
      </w:pPr>
      <w:rPr>
        <w:b/>
        <w:i w:val="0"/>
        <w:caps w:val="0"/>
        <w:smallCaps w:val="0"/>
        <w:strike w:val="0"/>
        <w:dstrike w:val="0"/>
        <w:vanish w:val="0"/>
        <w:color w:val="000000"/>
        <w:spacing w:val="0"/>
        <w:w w:val="100"/>
        <w:kern w:val="0"/>
        <w:position w:val="0"/>
        <w:sz w:val="22"/>
        <w:u w:val="none"/>
        <w:vertAlign w:val="baseline"/>
      </w:rPr>
    </w:lvl>
    <w:lvl w:ilvl="2" w:tentative="0">
      <w:start w:val="1"/>
      <w:numFmt w:val="decimal"/>
      <w:lvlText w:val="%3."/>
      <w:lvlJc w:val="left"/>
      <w:pPr>
        <w:tabs>
          <w:tab w:val="left" w:pos="1800"/>
        </w:tabs>
        <w:ind w:left="1440" w:firstLine="0"/>
      </w:pPr>
    </w:lvl>
    <w:lvl w:ilvl="3" w:tentative="0">
      <w:start w:val="1"/>
      <w:numFmt w:val="lowerLetter"/>
      <w:lvlText w:val="%4)"/>
      <w:lvlJc w:val="left"/>
      <w:pPr>
        <w:tabs>
          <w:tab w:val="left" w:pos="2520"/>
        </w:tabs>
        <w:ind w:left="2160" w:firstLine="0"/>
      </w:pPr>
    </w:lvl>
    <w:lvl w:ilvl="4" w:tentative="0">
      <w:start w:val="1"/>
      <w:numFmt w:val="decimal"/>
      <w:lvlText w:val="(%5)"/>
      <w:lvlJc w:val="left"/>
      <w:pPr>
        <w:tabs>
          <w:tab w:val="left" w:pos="3240"/>
        </w:tabs>
        <w:ind w:left="2880" w:firstLine="0"/>
      </w:pPr>
    </w:lvl>
    <w:lvl w:ilvl="5" w:tentative="0">
      <w:start w:val="1"/>
      <w:numFmt w:val="lowerLetter"/>
      <w:lvlText w:val="(%6)"/>
      <w:lvlJc w:val="left"/>
      <w:pPr>
        <w:tabs>
          <w:tab w:val="left" w:pos="3960"/>
        </w:tabs>
        <w:ind w:left="3600" w:firstLine="0"/>
      </w:pPr>
    </w:lvl>
    <w:lvl w:ilvl="6" w:tentative="0">
      <w:start w:val="1"/>
      <w:numFmt w:val="lowerRoman"/>
      <w:lvlText w:val="(%7)"/>
      <w:lvlJc w:val="left"/>
      <w:pPr>
        <w:tabs>
          <w:tab w:val="left" w:pos="4680"/>
        </w:tabs>
        <w:ind w:left="4320" w:firstLine="0"/>
      </w:pPr>
    </w:lvl>
    <w:lvl w:ilvl="7" w:tentative="0">
      <w:start w:val="1"/>
      <w:numFmt w:val="lowerLetter"/>
      <w:lvlText w:val="(%8)"/>
      <w:lvlJc w:val="left"/>
      <w:pPr>
        <w:tabs>
          <w:tab w:val="left" w:pos="5400"/>
        </w:tabs>
        <w:ind w:left="5040" w:firstLine="0"/>
      </w:pPr>
    </w:lvl>
    <w:lvl w:ilvl="8" w:tentative="0">
      <w:start w:val="1"/>
      <w:numFmt w:val="lowerRoman"/>
      <w:lvlText w:val="(%9)"/>
      <w:lvlJc w:val="left"/>
      <w:pPr>
        <w:tabs>
          <w:tab w:val="left" w:pos="6120"/>
        </w:tabs>
        <w:ind w:left="576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oNotDisplayPageBoundaries w:val="1"/>
  <w:bordersDoNotSurroundHeader w:val="0"/>
  <w:bordersDoNotSurroundFooter w:val="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4B88A6900008AE4" w:val=" "/>
    <w:docVar w:name="64B88C98000011B1" w:val=" "/>
    <w:docVar w:name="64B8A52D000015A5" w:val=" "/>
    <w:docVar w:name="64B8A63A0000302F" w:val=" "/>
    <w:docVar w:name="64B8BFBA0000CE81" w:val=" "/>
    <w:docVar w:name="64B8C01D00004F54" w:val=" "/>
    <w:docVar w:name="64BA64C800001B6C" w:val=" "/>
  </w:docVars>
  <w:rsids>
    <w:rsidRoot w:val="00172A27"/>
    <w:rsid w:val="00002588"/>
    <w:rsid w:val="000025C1"/>
    <w:rsid w:val="00004B1F"/>
    <w:rsid w:val="00007AEF"/>
    <w:rsid w:val="0002192A"/>
    <w:rsid w:val="00021BD9"/>
    <w:rsid w:val="0002210B"/>
    <w:rsid w:val="00022DE9"/>
    <w:rsid w:val="00023EB9"/>
    <w:rsid w:val="0002635F"/>
    <w:rsid w:val="000271AD"/>
    <w:rsid w:val="0002757A"/>
    <w:rsid w:val="00037890"/>
    <w:rsid w:val="00042FD9"/>
    <w:rsid w:val="0004368F"/>
    <w:rsid w:val="000470D5"/>
    <w:rsid w:val="00062DF7"/>
    <w:rsid w:val="00063949"/>
    <w:rsid w:val="00073581"/>
    <w:rsid w:val="00073998"/>
    <w:rsid w:val="000743C2"/>
    <w:rsid w:val="000863EB"/>
    <w:rsid w:val="0008728A"/>
    <w:rsid w:val="00093646"/>
    <w:rsid w:val="00095484"/>
    <w:rsid w:val="00096876"/>
    <w:rsid w:val="000977F1"/>
    <w:rsid w:val="000A2B36"/>
    <w:rsid w:val="000A2FCC"/>
    <w:rsid w:val="000B0E3F"/>
    <w:rsid w:val="000B20F1"/>
    <w:rsid w:val="000B4EFE"/>
    <w:rsid w:val="000D2A80"/>
    <w:rsid w:val="000E006A"/>
    <w:rsid w:val="000E1B6B"/>
    <w:rsid w:val="000E4993"/>
    <w:rsid w:val="000E4DFC"/>
    <w:rsid w:val="000F1753"/>
    <w:rsid w:val="000F5927"/>
    <w:rsid w:val="001010A2"/>
    <w:rsid w:val="00104F14"/>
    <w:rsid w:val="0011385D"/>
    <w:rsid w:val="00117CB5"/>
    <w:rsid w:val="00120320"/>
    <w:rsid w:val="001255EF"/>
    <w:rsid w:val="0013425A"/>
    <w:rsid w:val="00153548"/>
    <w:rsid w:val="00172A27"/>
    <w:rsid w:val="001924F8"/>
    <w:rsid w:val="00193A3C"/>
    <w:rsid w:val="00195F05"/>
    <w:rsid w:val="001979A7"/>
    <w:rsid w:val="001A0196"/>
    <w:rsid w:val="001B2F81"/>
    <w:rsid w:val="001B52A3"/>
    <w:rsid w:val="001B67A0"/>
    <w:rsid w:val="001B7BED"/>
    <w:rsid w:val="001C0EF9"/>
    <w:rsid w:val="001C2075"/>
    <w:rsid w:val="001C3209"/>
    <w:rsid w:val="001C32FF"/>
    <w:rsid w:val="001C70F0"/>
    <w:rsid w:val="001D1F3C"/>
    <w:rsid w:val="001D641C"/>
    <w:rsid w:val="001D7E0E"/>
    <w:rsid w:val="001E00FB"/>
    <w:rsid w:val="001E1BC5"/>
    <w:rsid w:val="001E464A"/>
    <w:rsid w:val="001E4F87"/>
    <w:rsid w:val="001F326E"/>
    <w:rsid w:val="001F3271"/>
    <w:rsid w:val="001F4EF5"/>
    <w:rsid w:val="00200B1E"/>
    <w:rsid w:val="00205147"/>
    <w:rsid w:val="0022072C"/>
    <w:rsid w:val="00221164"/>
    <w:rsid w:val="00222749"/>
    <w:rsid w:val="00222A53"/>
    <w:rsid w:val="00224393"/>
    <w:rsid w:val="00226BAE"/>
    <w:rsid w:val="00227792"/>
    <w:rsid w:val="00241077"/>
    <w:rsid w:val="0024188F"/>
    <w:rsid w:val="00245F33"/>
    <w:rsid w:val="00267A0E"/>
    <w:rsid w:val="002720AC"/>
    <w:rsid w:val="002747A5"/>
    <w:rsid w:val="00297FC9"/>
    <w:rsid w:val="002A2863"/>
    <w:rsid w:val="002A668D"/>
    <w:rsid w:val="002B1C52"/>
    <w:rsid w:val="002B2E26"/>
    <w:rsid w:val="002B304F"/>
    <w:rsid w:val="002C63BA"/>
    <w:rsid w:val="002D3A3B"/>
    <w:rsid w:val="002D3CDC"/>
    <w:rsid w:val="002F47A1"/>
    <w:rsid w:val="002F4BFF"/>
    <w:rsid w:val="0030496B"/>
    <w:rsid w:val="0031363C"/>
    <w:rsid w:val="003234AA"/>
    <w:rsid w:val="00327DBB"/>
    <w:rsid w:val="003304C6"/>
    <w:rsid w:val="003317B2"/>
    <w:rsid w:val="003323D5"/>
    <w:rsid w:val="00333195"/>
    <w:rsid w:val="00333DCB"/>
    <w:rsid w:val="00336AE1"/>
    <w:rsid w:val="00341BB5"/>
    <w:rsid w:val="00361C68"/>
    <w:rsid w:val="00374EDC"/>
    <w:rsid w:val="00382C40"/>
    <w:rsid w:val="00390063"/>
    <w:rsid w:val="003944A1"/>
    <w:rsid w:val="00394885"/>
    <w:rsid w:val="00397CFD"/>
    <w:rsid w:val="003A06ED"/>
    <w:rsid w:val="003A4990"/>
    <w:rsid w:val="003A7AB6"/>
    <w:rsid w:val="003A7CA4"/>
    <w:rsid w:val="003B40D1"/>
    <w:rsid w:val="003C218B"/>
    <w:rsid w:val="003D3D26"/>
    <w:rsid w:val="003E5987"/>
    <w:rsid w:val="003F7A60"/>
    <w:rsid w:val="004033B0"/>
    <w:rsid w:val="0040495E"/>
    <w:rsid w:val="00412905"/>
    <w:rsid w:val="00415711"/>
    <w:rsid w:val="00416A2B"/>
    <w:rsid w:val="00420689"/>
    <w:rsid w:val="004237B9"/>
    <w:rsid w:val="00431FD1"/>
    <w:rsid w:val="00434180"/>
    <w:rsid w:val="00436DF2"/>
    <w:rsid w:val="00452081"/>
    <w:rsid w:val="0045632D"/>
    <w:rsid w:val="004679C2"/>
    <w:rsid w:val="004700F6"/>
    <w:rsid w:val="004727B8"/>
    <w:rsid w:val="004746E9"/>
    <w:rsid w:val="00474A89"/>
    <w:rsid w:val="00485098"/>
    <w:rsid w:val="004A19AB"/>
    <w:rsid w:val="004A6857"/>
    <w:rsid w:val="004B416C"/>
    <w:rsid w:val="004B776A"/>
    <w:rsid w:val="004C28DC"/>
    <w:rsid w:val="004C794B"/>
    <w:rsid w:val="004E3141"/>
    <w:rsid w:val="004E56FA"/>
    <w:rsid w:val="004F1D26"/>
    <w:rsid w:val="004F313C"/>
    <w:rsid w:val="004F5F66"/>
    <w:rsid w:val="004F7AF7"/>
    <w:rsid w:val="00502EFB"/>
    <w:rsid w:val="0050584F"/>
    <w:rsid w:val="00505AB6"/>
    <w:rsid w:val="005137D6"/>
    <w:rsid w:val="005145DF"/>
    <w:rsid w:val="005150BC"/>
    <w:rsid w:val="00521034"/>
    <w:rsid w:val="00526054"/>
    <w:rsid w:val="0052757D"/>
    <w:rsid w:val="00530DFD"/>
    <w:rsid w:val="005310EC"/>
    <w:rsid w:val="00533326"/>
    <w:rsid w:val="0053359D"/>
    <w:rsid w:val="0053469B"/>
    <w:rsid w:val="005446ED"/>
    <w:rsid w:val="00544AB4"/>
    <w:rsid w:val="0054691A"/>
    <w:rsid w:val="00547D50"/>
    <w:rsid w:val="00556704"/>
    <w:rsid w:val="00563F0B"/>
    <w:rsid w:val="0056670E"/>
    <w:rsid w:val="00572CB9"/>
    <w:rsid w:val="00573CDA"/>
    <w:rsid w:val="00576F6D"/>
    <w:rsid w:val="00581FA9"/>
    <w:rsid w:val="005908A0"/>
    <w:rsid w:val="00591485"/>
    <w:rsid w:val="0059217A"/>
    <w:rsid w:val="00592287"/>
    <w:rsid w:val="00595389"/>
    <w:rsid w:val="005A402B"/>
    <w:rsid w:val="005A676C"/>
    <w:rsid w:val="005B2068"/>
    <w:rsid w:val="005B7A67"/>
    <w:rsid w:val="005B7ACA"/>
    <w:rsid w:val="005C03E6"/>
    <w:rsid w:val="005D39F8"/>
    <w:rsid w:val="005D58FA"/>
    <w:rsid w:val="005E2E72"/>
    <w:rsid w:val="005E507C"/>
    <w:rsid w:val="005E6BA4"/>
    <w:rsid w:val="00607AD3"/>
    <w:rsid w:val="00610338"/>
    <w:rsid w:val="0061086D"/>
    <w:rsid w:val="00611171"/>
    <w:rsid w:val="00623B0D"/>
    <w:rsid w:val="00623C91"/>
    <w:rsid w:val="00627000"/>
    <w:rsid w:val="00633B57"/>
    <w:rsid w:val="00636EE6"/>
    <w:rsid w:val="00640532"/>
    <w:rsid w:val="00641D1F"/>
    <w:rsid w:val="00646DF1"/>
    <w:rsid w:val="006530A5"/>
    <w:rsid w:val="00660915"/>
    <w:rsid w:val="00665D0F"/>
    <w:rsid w:val="00670994"/>
    <w:rsid w:val="00674D4A"/>
    <w:rsid w:val="00683D6C"/>
    <w:rsid w:val="006879B3"/>
    <w:rsid w:val="00687B23"/>
    <w:rsid w:val="006944A0"/>
    <w:rsid w:val="006A175B"/>
    <w:rsid w:val="006A492B"/>
    <w:rsid w:val="006A60BB"/>
    <w:rsid w:val="006A63D2"/>
    <w:rsid w:val="006B1825"/>
    <w:rsid w:val="006C190D"/>
    <w:rsid w:val="006C3760"/>
    <w:rsid w:val="006E0403"/>
    <w:rsid w:val="006E1556"/>
    <w:rsid w:val="006E1974"/>
    <w:rsid w:val="006F1DA5"/>
    <w:rsid w:val="006F246E"/>
    <w:rsid w:val="006F62AC"/>
    <w:rsid w:val="0070072B"/>
    <w:rsid w:val="00702004"/>
    <w:rsid w:val="0070625F"/>
    <w:rsid w:val="007068CB"/>
    <w:rsid w:val="00713A0E"/>
    <w:rsid w:val="00717EB0"/>
    <w:rsid w:val="0072037B"/>
    <w:rsid w:val="00721B1E"/>
    <w:rsid w:val="00726E75"/>
    <w:rsid w:val="0073536A"/>
    <w:rsid w:val="007372C0"/>
    <w:rsid w:val="007409C9"/>
    <w:rsid w:val="00740D05"/>
    <w:rsid w:val="007432B8"/>
    <w:rsid w:val="00743887"/>
    <w:rsid w:val="00744F69"/>
    <w:rsid w:val="0074671A"/>
    <w:rsid w:val="0075103F"/>
    <w:rsid w:val="00753F82"/>
    <w:rsid w:val="007553B3"/>
    <w:rsid w:val="00755893"/>
    <w:rsid w:val="00755C9B"/>
    <w:rsid w:val="00757AF9"/>
    <w:rsid w:val="00765227"/>
    <w:rsid w:val="00766BD7"/>
    <w:rsid w:val="00775BF0"/>
    <w:rsid w:val="00781C48"/>
    <w:rsid w:val="00782A87"/>
    <w:rsid w:val="007A5524"/>
    <w:rsid w:val="007A7392"/>
    <w:rsid w:val="007B3196"/>
    <w:rsid w:val="007B4084"/>
    <w:rsid w:val="007B51B1"/>
    <w:rsid w:val="007B5DFC"/>
    <w:rsid w:val="007B7183"/>
    <w:rsid w:val="007C07CB"/>
    <w:rsid w:val="007D7750"/>
    <w:rsid w:val="007E0B95"/>
    <w:rsid w:val="007E11E2"/>
    <w:rsid w:val="007E210E"/>
    <w:rsid w:val="007E7B82"/>
    <w:rsid w:val="007F3509"/>
    <w:rsid w:val="007F37C7"/>
    <w:rsid w:val="007F5081"/>
    <w:rsid w:val="008001B3"/>
    <w:rsid w:val="008020FE"/>
    <w:rsid w:val="00802AAC"/>
    <w:rsid w:val="00803079"/>
    <w:rsid w:val="0080349E"/>
    <w:rsid w:val="008064CC"/>
    <w:rsid w:val="0080723A"/>
    <w:rsid w:val="00815D22"/>
    <w:rsid w:val="00815D9C"/>
    <w:rsid w:val="00816D23"/>
    <w:rsid w:val="008212C1"/>
    <w:rsid w:val="008300ED"/>
    <w:rsid w:val="008309D2"/>
    <w:rsid w:val="008338AE"/>
    <w:rsid w:val="00835F74"/>
    <w:rsid w:val="00837CE6"/>
    <w:rsid w:val="008471C3"/>
    <w:rsid w:val="00847D71"/>
    <w:rsid w:val="00850BD2"/>
    <w:rsid w:val="00850D7E"/>
    <w:rsid w:val="00852693"/>
    <w:rsid w:val="00854AEC"/>
    <w:rsid w:val="00855F4D"/>
    <w:rsid w:val="008611FC"/>
    <w:rsid w:val="00862BC4"/>
    <w:rsid w:val="00880CFF"/>
    <w:rsid w:val="0088671B"/>
    <w:rsid w:val="00894211"/>
    <w:rsid w:val="0089464B"/>
    <w:rsid w:val="008A1FD1"/>
    <w:rsid w:val="008A783A"/>
    <w:rsid w:val="008A7AC6"/>
    <w:rsid w:val="008B4D92"/>
    <w:rsid w:val="008B5E3B"/>
    <w:rsid w:val="008B7FA4"/>
    <w:rsid w:val="008C08B3"/>
    <w:rsid w:val="008C35F9"/>
    <w:rsid w:val="008C5421"/>
    <w:rsid w:val="008C7900"/>
    <w:rsid w:val="008D39EA"/>
    <w:rsid w:val="008F1FE4"/>
    <w:rsid w:val="008F2B3F"/>
    <w:rsid w:val="008F2D41"/>
    <w:rsid w:val="008F56DD"/>
    <w:rsid w:val="009026ED"/>
    <w:rsid w:val="009029EA"/>
    <w:rsid w:val="00904D40"/>
    <w:rsid w:val="00907458"/>
    <w:rsid w:val="00907E9E"/>
    <w:rsid w:val="00911BEC"/>
    <w:rsid w:val="00917A43"/>
    <w:rsid w:val="009224F2"/>
    <w:rsid w:val="00923CE1"/>
    <w:rsid w:val="009312C4"/>
    <w:rsid w:val="00936615"/>
    <w:rsid w:val="009457F3"/>
    <w:rsid w:val="00945AAB"/>
    <w:rsid w:val="00956AB4"/>
    <w:rsid w:val="00960FCA"/>
    <w:rsid w:val="00962A76"/>
    <w:rsid w:val="00964BB0"/>
    <w:rsid w:val="009670BB"/>
    <w:rsid w:val="0096756F"/>
    <w:rsid w:val="0096759B"/>
    <w:rsid w:val="00971BA3"/>
    <w:rsid w:val="00981BB4"/>
    <w:rsid w:val="0098553D"/>
    <w:rsid w:val="0098561A"/>
    <w:rsid w:val="00995173"/>
    <w:rsid w:val="009957B3"/>
    <w:rsid w:val="009B0B4B"/>
    <w:rsid w:val="009B1BB6"/>
    <w:rsid w:val="009B22D7"/>
    <w:rsid w:val="009C3EC3"/>
    <w:rsid w:val="009C5EBA"/>
    <w:rsid w:val="009C6126"/>
    <w:rsid w:val="009D0383"/>
    <w:rsid w:val="009D1F0C"/>
    <w:rsid w:val="009D5FD8"/>
    <w:rsid w:val="009E0CA1"/>
    <w:rsid w:val="009E33DB"/>
    <w:rsid w:val="009F40AF"/>
    <w:rsid w:val="009F504B"/>
    <w:rsid w:val="009F5668"/>
    <w:rsid w:val="009F6860"/>
    <w:rsid w:val="009F7CAA"/>
    <w:rsid w:val="00A13662"/>
    <w:rsid w:val="00A21A30"/>
    <w:rsid w:val="00A21AF7"/>
    <w:rsid w:val="00A2508E"/>
    <w:rsid w:val="00A32C22"/>
    <w:rsid w:val="00A40804"/>
    <w:rsid w:val="00A50CE7"/>
    <w:rsid w:val="00A608CF"/>
    <w:rsid w:val="00A652D9"/>
    <w:rsid w:val="00A7153D"/>
    <w:rsid w:val="00A728E0"/>
    <w:rsid w:val="00A73D54"/>
    <w:rsid w:val="00A77262"/>
    <w:rsid w:val="00A82031"/>
    <w:rsid w:val="00A82392"/>
    <w:rsid w:val="00A8324E"/>
    <w:rsid w:val="00A8492A"/>
    <w:rsid w:val="00A90F76"/>
    <w:rsid w:val="00A91E7C"/>
    <w:rsid w:val="00A943E8"/>
    <w:rsid w:val="00A9563D"/>
    <w:rsid w:val="00AA06BE"/>
    <w:rsid w:val="00AA1B03"/>
    <w:rsid w:val="00AB038C"/>
    <w:rsid w:val="00AB6D34"/>
    <w:rsid w:val="00AC0A29"/>
    <w:rsid w:val="00AD3E5B"/>
    <w:rsid w:val="00AD3F33"/>
    <w:rsid w:val="00AE4605"/>
    <w:rsid w:val="00AF02A9"/>
    <w:rsid w:val="00AF0A40"/>
    <w:rsid w:val="00AF38D2"/>
    <w:rsid w:val="00AF55C3"/>
    <w:rsid w:val="00AF6AD5"/>
    <w:rsid w:val="00B00CAB"/>
    <w:rsid w:val="00B02193"/>
    <w:rsid w:val="00B0316D"/>
    <w:rsid w:val="00B04CCD"/>
    <w:rsid w:val="00B13425"/>
    <w:rsid w:val="00B1743F"/>
    <w:rsid w:val="00B208E7"/>
    <w:rsid w:val="00B217B3"/>
    <w:rsid w:val="00B2209B"/>
    <w:rsid w:val="00B24107"/>
    <w:rsid w:val="00B24AE8"/>
    <w:rsid w:val="00B33D59"/>
    <w:rsid w:val="00B46335"/>
    <w:rsid w:val="00B60AE5"/>
    <w:rsid w:val="00B626A9"/>
    <w:rsid w:val="00B70B8E"/>
    <w:rsid w:val="00B714F9"/>
    <w:rsid w:val="00B73068"/>
    <w:rsid w:val="00B75FD5"/>
    <w:rsid w:val="00B76271"/>
    <w:rsid w:val="00B87F9B"/>
    <w:rsid w:val="00B918D8"/>
    <w:rsid w:val="00B95149"/>
    <w:rsid w:val="00BA1F45"/>
    <w:rsid w:val="00BA26FC"/>
    <w:rsid w:val="00BA3A7C"/>
    <w:rsid w:val="00BB6385"/>
    <w:rsid w:val="00BB6F39"/>
    <w:rsid w:val="00BC186E"/>
    <w:rsid w:val="00BC29E6"/>
    <w:rsid w:val="00BD1E53"/>
    <w:rsid w:val="00BD2975"/>
    <w:rsid w:val="00BE2027"/>
    <w:rsid w:val="00BE2D72"/>
    <w:rsid w:val="00BE42A9"/>
    <w:rsid w:val="00BE48CF"/>
    <w:rsid w:val="00BE5634"/>
    <w:rsid w:val="00BF4291"/>
    <w:rsid w:val="00C021D6"/>
    <w:rsid w:val="00C02BC5"/>
    <w:rsid w:val="00C0307E"/>
    <w:rsid w:val="00C07984"/>
    <w:rsid w:val="00C118F5"/>
    <w:rsid w:val="00C2047A"/>
    <w:rsid w:val="00C32FBC"/>
    <w:rsid w:val="00C34969"/>
    <w:rsid w:val="00C473BC"/>
    <w:rsid w:val="00C636D1"/>
    <w:rsid w:val="00C70EB5"/>
    <w:rsid w:val="00C73F8B"/>
    <w:rsid w:val="00C761C0"/>
    <w:rsid w:val="00C772FA"/>
    <w:rsid w:val="00C802C8"/>
    <w:rsid w:val="00C95C18"/>
    <w:rsid w:val="00C95FD1"/>
    <w:rsid w:val="00C97F5C"/>
    <w:rsid w:val="00CB1F4C"/>
    <w:rsid w:val="00CB2436"/>
    <w:rsid w:val="00CB3359"/>
    <w:rsid w:val="00CB494E"/>
    <w:rsid w:val="00CB62F1"/>
    <w:rsid w:val="00CB6AA1"/>
    <w:rsid w:val="00CD22F3"/>
    <w:rsid w:val="00CD2598"/>
    <w:rsid w:val="00CD6995"/>
    <w:rsid w:val="00CF6D77"/>
    <w:rsid w:val="00D001FA"/>
    <w:rsid w:val="00D0056C"/>
    <w:rsid w:val="00D0735F"/>
    <w:rsid w:val="00D11AC3"/>
    <w:rsid w:val="00D1292B"/>
    <w:rsid w:val="00D15408"/>
    <w:rsid w:val="00D22729"/>
    <w:rsid w:val="00D229A6"/>
    <w:rsid w:val="00D323A5"/>
    <w:rsid w:val="00D3245C"/>
    <w:rsid w:val="00D3736C"/>
    <w:rsid w:val="00D46167"/>
    <w:rsid w:val="00D52EFF"/>
    <w:rsid w:val="00D64563"/>
    <w:rsid w:val="00D64D38"/>
    <w:rsid w:val="00D64E4B"/>
    <w:rsid w:val="00D66DCE"/>
    <w:rsid w:val="00D672C7"/>
    <w:rsid w:val="00D75412"/>
    <w:rsid w:val="00D80433"/>
    <w:rsid w:val="00D80804"/>
    <w:rsid w:val="00D8371C"/>
    <w:rsid w:val="00D875E6"/>
    <w:rsid w:val="00D90D9F"/>
    <w:rsid w:val="00D915AD"/>
    <w:rsid w:val="00D95146"/>
    <w:rsid w:val="00DA3B89"/>
    <w:rsid w:val="00DA6E76"/>
    <w:rsid w:val="00DB0AFA"/>
    <w:rsid w:val="00DB197E"/>
    <w:rsid w:val="00DB2710"/>
    <w:rsid w:val="00DB4D09"/>
    <w:rsid w:val="00DC549A"/>
    <w:rsid w:val="00DC75CC"/>
    <w:rsid w:val="00DC7D0A"/>
    <w:rsid w:val="00DD119A"/>
    <w:rsid w:val="00DD3091"/>
    <w:rsid w:val="00DE1A8B"/>
    <w:rsid w:val="00DF3456"/>
    <w:rsid w:val="00DF6C43"/>
    <w:rsid w:val="00DF6F31"/>
    <w:rsid w:val="00E02B34"/>
    <w:rsid w:val="00E05DD7"/>
    <w:rsid w:val="00E21725"/>
    <w:rsid w:val="00E224CB"/>
    <w:rsid w:val="00E247E6"/>
    <w:rsid w:val="00E30C41"/>
    <w:rsid w:val="00E317CA"/>
    <w:rsid w:val="00E57F00"/>
    <w:rsid w:val="00E601E2"/>
    <w:rsid w:val="00E61C16"/>
    <w:rsid w:val="00E76A02"/>
    <w:rsid w:val="00E77719"/>
    <w:rsid w:val="00E84162"/>
    <w:rsid w:val="00E845A2"/>
    <w:rsid w:val="00E878A7"/>
    <w:rsid w:val="00E91F95"/>
    <w:rsid w:val="00E92035"/>
    <w:rsid w:val="00E9540F"/>
    <w:rsid w:val="00EA081C"/>
    <w:rsid w:val="00EA14F4"/>
    <w:rsid w:val="00EA6D0A"/>
    <w:rsid w:val="00EB30D7"/>
    <w:rsid w:val="00EB6489"/>
    <w:rsid w:val="00EC01B6"/>
    <w:rsid w:val="00EC18E7"/>
    <w:rsid w:val="00EC24F2"/>
    <w:rsid w:val="00ED0611"/>
    <w:rsid w:val="00ED42FE"/>
    <w:rsid w:val="00ED45F6"/>
    <w:rsid w:val="00ED623E"/>
    <w:rsid w:val="00ED72A7"/>
    <w:rsid w:val="00EF2E83"/>
    <w:rsid w:val="00EF397A"/>
    <w:rsid w:val="00EF3F30"/>
    <w:rsid w:val="00EF4A38"/>
    <w:rsid w:val="00EF664C"/>
    <w:rsid w:val="00F02648"/>
    <w:rsid w:val="00F04C1E"/>
    <w:rsid w:val="00F0789A"/>
    <w:rsid w:val="00F11381"/>
    <w:rsid w:val="00F16EFB"/>
    <w:rsid w:val="00F177E7"/>
    <w:rsid w:val="00F31931"/>
    <w:rsid w:val="00F3415C"/>
    <w:rsid w:val="00F3592C"/>
    <w:rsid w:val="00F42941"/>
    <w:rsid w:val="00F4477B"/>
    <w:rsid w:val="00F575F6"/>
    <w:rsid w:val="00F57751"/>
    <w:rsid w:val="00F615A6"/>
    <w:rsid w:val="00F637AD"/>
    <w:rsid w:val="00F64E2C"/>
    <w:rsid w:val="00F651C1"/>
    <w:rsid w:val="00F65E75"/>
    <w:rsid w:val="00F745AD"/>
    <w:rsid w:val="00F75DFE"/>
    <w:rsid w:val="00F77D7F"/>
    <w:rsid w:val="00F828EF"/>
    <w:rsid w:val="00F84A6F"/>
    <w:rsid w:val="00F951EA"/>
    <w:rsid w:val="00FA3D89"/>
    <w:rsid w:val="00FA6953"/>
    <w:rsid w:val="00FB1D32"/>
    <w:rsid w:val="00FB2470"/>
    <w:rsid w:val="00FB2A3E"/>
    <w:rsid w:val="00FB3E8F"/>
    <w:rsid w:val="00FB55AE"/>
    <w:rsid w:val="00FC2791"/>
    <w:rsid w:val="00FC4C7F"/>
    <w:rsid w:val="00FD3055"/>
    <w:rsid w:val="00FE1FD4"/>
    <w:rsid w:val="00FE497C"/>
    <w:rsid w:val="00FE77A7"/>
    <w:rsid w:val="00FF6913"/>
    <w:rsid w:val="00FF74F5"/>
    <w:rsid w:val="011D0757"/>
    <w:rsid w:val="01272CE7"/>
    <w:rsid w:val="01397C9C"/>
    <w:rsid w:val="01941722"/>
    <w:rsid w:val="01A51586"/>
    <w:rsid w:val="01ED30B6"/>
    <w:rsid w:val="01FB23CB"/>
    <w:rsid w:val="020263A6"/>
    <w:rsid w:val="02297614"/>
    <w:rsid w:val="024D552A"/>
    <w:rsid w:val="02670003"/>
    <w:rsid w:val="029C1F55"/>
    <w:rsid w:val="02B81885"/>
    <w:rsid w:val="02CF14AA"/>
    <w:rsid w:val="02E30DBC"/>
    <w:rsid w:val="02EA74DA"/>
    <w:rsid w:val="030E453B"/>
    <w:rsid w:val="033C7B51"/>
    <w:rsid w:val="035C6B10"/>
    <w:rsid w:val="03826D43"/>
    <w:rsid w:val="03A42F63"/>
    <w:rsid w:val="041F3E12"/>
    <w:rsid w:val="04467D92"/>
    <w:rsid w:val="046D5972"/>
    <w:rsid w:val="04BC79D1"/>
    <w:rsid w:val="0564268C"/>
    <w:rsid w:val="0592672F"/>
    <w:rsid w:val="05EA6510"/>
    <w:rsid w:val="064268D3"/>
    <w:rsid w:val="065F2600"/>
    <w:rsid w:val="068D758D"/>
    <w:rsid w:val="075D78FC"/>
    <w:rsid w:val="080674B8"/>
    <w:rsid w:val="085801BC"/>
    <w:rsid w:val="087B240D"/>
    <w:rsid w:val="08943796"/>
    <w:rsid w:val="089B2BB8"/>
    <w:rsid w:val="090B5FE1"/>
    <w:rsid w:val="0925299D"/>
    <w:rsid w:val="09623EF2"/>
    <w:rsid w:val="098375FB"/>
    <w:rsid w:val="0A2C0F15"/>
    <w:rsid w:val="0B130004"/>
    <w:rsid w:val="0BA54D96"/>
    <w:rsid w:val="0BB0283D"/>
    <w:rsid w:val="0BB80354"/>
    <w:rsid w:val="0C415D71"/>
    <w:rsid w:val="0C767E33"/>
    <w:rsid w:val="0CEC47C3"/>
    <w:rsid w:val="0D074FED"/>
    <w:rsid w:val="0D337F1E"/>
    <w:rsid w:val="0D473C2E"/>
    <w:rsid w:val="0D635706"/>
    <w:rsid w:val="0D6C2793"/>
    <w:rsid w:val="0D7C44C1"/>
    <w:rsid w:val="0D900286"/>
    <w:rsid w:val="0DF47759"/>
    <w:rsid w:val="0DF72F8F"/>
    <w:rsid w:val="0E381596"/>
    <w:rsid w:val="0E5024E1"/>
    <w:rsid w:val="0EEF0710"/>
    <w:rsid w:val="0EFE4C65"/>
    <w:rsid w:val="0F27347B"/>
    <w:rsid w:val="0F276A6D"/>
    <w:rsid w:val="0F752EA3"/>
    <w:rsid w:val="0FCE22FD"/>
    <w:rsid w:val="0FE2530E"/>
    <w:rsid w:val="10491C47"/>
    <w:rsid w:val="10B33936"/>
    <w:rsid w:val="1121423B"/>
    <w:rsid w:val="11855DCB"/>
    <w:rsid w:val="11915461"/>
    <w:rsid w:val="11AB279D"/>
    <w:rsid w:val="11AE6F8F"/>
    <w:rsid w:val="122968D9"/>
    <w:rsid w:val="132632F9"/>
    <w:rsid w:val="13484B32"/>
    <w:rsid w:val="13800A72"/>
    <w:rsid w:val="13DA081E"/>
    <w:rsid w:val="144B7A97"/>
    <w:rsid w:val="1456146C"/>
    <w:rsid w:val="14B22A7F"/>
    <w:rsid w:val="14ED293C"/>
    <w:rsid w:val="154A7873"/>
    <w:rsid w:val="15995602"/>
    <w:rsid w:val="15B56E2A"/>
    <w:rsid w:val="16051AF0"/>
    <w:rsid w:val="16184950"/>
    <w:rsid w:val="16907AD6"/>
    <w:rsid w:val="16A022AB"/>
    <w:rsid w:val="16AA748F"/>
    <w:rsid w:val="16B212CB"/>
    <w:rsid w:val="16BF2B60"/>
    <w:rsid w:val="17710405"/>
    <w:rsid w:val="17A163FE"/>
    <w:rsid w:val="18C57A32"/>
    <w:rsid w:val="18D269C9"/>
    <w:rsid w:val="18F70FFC"/>
    <w:rsid w:val="19090A5C"/>
    <w:rsid w:val="19B962D6"/>
    <w:rsid w:val="19D3216D"/>
    <w:rsid w:val="19DB276A"/>
    <w:rsid w:val="1A4468FE"/>
    <w:rsid w:val="1A5800E3"/>
    <w:rsid w:val="1AFE63D7"/>
    <w:rsid w:val="1B4F4EDD"/>
    <w:rsid w:val="1B6F4296"/>
    <w:rsid w:val="1B8512BF"/>
    <w:rsid w:val="1BBB420C"/>
    <w:rsid w:val="1BC03F17"/>
    <w:rsid w:val="1C363FCA"/>
    <w:rsid w:val="1C943EEF"/>
    <w:rsid w:val="1CBA66FB"/>
    <w:rsid w:val="1D536262"/>
    <w:rsid w:val="1D5B0F71"/>
    <w:rsid w:val="1DED0970"/>
    <w:rsid w:val="1DF63C54"/>
    <w:rsid w:val="1DFC5A40"/>
    <w:rsid w:val="1EB1426A"/>
    <w:rsid w:val="1EB564C5"/>
    <w:rsid w:val="1F181690"/>
    <w:rsid w:val="1F685851"/>
    <w:rsid w:val="1F8467C0"/>
    <w:rsid w:val="1FD31DCA"/>
    <w:rsid w:val="1FE04F02"/>
    <w:rsid w:val="2055218A"/>
    <w:rsid w:val="20F77BEB"/>
    <w:rsid w:val="214672E7"/>
    <w:rsid w:val="2204230C"/>
    <w:rsid w:val="22873935"/>
    <w:rsid w:val="22946A13"/>
    <w:rsid w:val="22B146CC"/>
    <w:rsid w:val="22BA72A8"/>
    <w:rsid w:val="23A848B2"/>
    <w:rsid w:val="23E2706A"/>
    <w:rsid w:val="242642DB"/>
    <w:rsid w:val="24651B2D"/>
    <w:rsid w:val="249C3CBD"/>
    <w:rsid w:val="24F17DA3"/>
    <w:rsid w:val="258A19A4"/>
    <w:rsid w:val="259077D1"/>
    <w:rsid w:val="2600795C"/>
    <w:rsid w:val="2647305C"/>
    <w:rsid w:val="26492CDC"/>
    <w:rsid w:val="269E51D4"/>
    <w:rsid w:val="26F052A6"/>
    <w:rsid w:val="27EE220F"/>
    <w:rsid w:val="28151CC0"/>
    <w:rsid w:val="28205186"/>
    <w:rsid w:val="282D79F9"/>
    <w:rsid w:val="28F65B07"/>
    <w:rsid w:val="2965200C"/>
    <w:rsid w:val="297916D3"/>
    <w:rsid w:val="29BC0105"/>
    <w:rsid w:val="2A1A63AB"/>
    <w:rsid w:val="2AB770A3"/>
    <w:rsid w:val="2AF44089"/>
    <w:rsid w:val="2B697EA4"/>
    <w:rsid w:val="2B9C641C"/>
    <w:rsid w:val="2BC1667F"/>
    <w:rsid w:val="2C921477"/>
    <w:rsid w:val="2D017EE1"/>
    <w:rsid w:val="2D3C4843"/>
    <w:rsid w:val="2D946162"/>
    <w:rsid w:val="2E566641"/>
    <w:rsid w:val="2EA61897"/>
    <w:rsid w:val="2EA66014"/>
    <w:rsid w:val="2ECC03DE"/>
    <w:rsid w:val="2EF9001C"/>
    <w:rsid w:val="2F053687"/>
    <w:rsid w:val="30146DD2"/>
    <w:rsid w:val="30A85531"/>
    <w:rsid w:val="30BB3500"/>
    <w:rsid w:val="315634C5"/>
    <w:rsid w:val="315B27F7"/>
    <w:rsid w:val="31755DD2"/>
    <w:rsid w:val="31772AD2"/>
    <w:rsid w:val="319E5622"/>
    <w:rsid w:val="31BF0359"/>
    <w:rsid w:val="31C75C18"/>
    <w:rsid w:val="323E02C2"/>
    <w:rsid w:val="3297178C"/>
    <w:rsid w:val="329E1117"/>
    <w:rsid w:val="32CB1A44"/>
    <w:rsid w:val="32D367B5"/>
    <w:rsid w:val="32FB237A"/>
    <w:rsid w:val="33564149"/>
    <w:rsid w:val="33576347"/>
    <w:rsid w:val="33833D47"/>
    <w:rsid w:val="338B2FA8"/>
    <w:rsid w:val="348A3241"/>
    <w:rsid w:val="349A7C58"/>
    <w:rsid w:val="34A76F6E"/>
    <w:rsid w:val="34A838D6"/>
    <w:rsid w:val="34CB39E9"/>
    <w:rsid w:val="35507787"/>
    <w:rsid w:val="3566192B"/>
    <w:rsid w:val="35BB3F85"/>
    <w:rsid w:val="361913CE"/>
    <w:rsid w:val="366208C9"/>
    <w:rsid w:val="369968A0"/>
    <w:rsid w:val="373C4DF5"/>
    <w:rsid w:val="376F7781"/>
    <w:rsid w:val="37717401"/>
    <w:rsid w:val="37880D2F"/>
    <w:rsid w:val="379527A2"/>
    <w:rsid w:val="37FE233C"/>
    <w:rsid w:val="37FF078B"/>
    <w:rsid w:val="38650F93"/>
    <w:rsid w:val="3875702F"/>
    <w:rsid w:val="387F0E8A"/>
    <w:rsid w:val="38F21AA3"/>
    <w:rsid w:val="39074CF3"/>
    <w:rsid w:val="392B5A21"/>
    <w:rsid w:val="39343BEA"/>
    <w:rsid w:val="39D733F3"/>
    <w:rsid w:val="3A5E23D3"/>
    <w:rsid w:val="3A8E5120"/>
    <w:rsid w:val="3A954AAB"/>
    <w:rsid w:val="3ADF39E2"/>
    <w:rsid w:val="3B022995"/>
    <w:rsid w:val="3B231786"/>
    <w:rsid w:val="3BD978FA"/>
    <w:rsid w:val="3BFD2D30"/>
    <w:rsid w:val="3C4C0972"/>
    <w:rsid w:val="3CBF2E36"/>
    <w:rsid w:val="3CD31AD7"/>
    <w:rsid w:val="3CEE0102"/>
    <w:rsid w:val="3CFD16D2"/>
    <w:rsid w:val="3D4E1420"/>
    <w:rsid w:val="3D690634"/>
    <w:rsid w:val="3D6B0D9C"/>
    <w:rsid w:val="3DC7550C"/>
    <w:rsid w:val="3E1F757A"/>
    <w:rsid w:val="3E2A2088"/>
    <w:rsid w:val="3E4A28AD"/>
    <w:rsid w:val="3E5F0364"/>
    <w:rsid w:val="3FFA2304"/>
    <w:rsid w:val="40157ED6"/>
    <w:rsid w:val="40356C65"/>
    <w:rsid w:val="409A440B"/>
    <w:rsid w:val="40FE2035"/>
    <w:rsid w:val="411617D6"/>
    <w:rsid w:val="42622E8A"/>
    <w:rsid w:val="428447B2"/>
    <w:rsid w:val="42E510B9"/>
    <w:rsid w:val="42FA77EF"/>
    <w:rsid w:val="42FB2E4B"/>
    <w:rsid w:val="43056A83"/>
    <w:rsid w:val="43DD4F5D"/>
    <w:rsid w:val="43EE0F7F"/>
    <w:rsid w:val="44283C23"/>
    <w:rsid w:val="448A77B2"/>
    <w:rsid w:val="448E6755"/>
    <w:rsid w:val="44DA1B27"/>
    <w:rsid w:val="45562AD0"/>
    <w:rsid w:val="458C2FAA"/>
    <w:rsid w:val="46157EB1"/>
    <w:rsid w:val="46166482"/>
    <w:rsid w:val="46D47B74"/>
    <w:rsid w:val="46D640AA"/>
    <w:rsid w:val="46FF1807"/>
    <w:rsid w:val="47106D8C"/>
    <w:rsid w:val="47565A99"/>
    <w:rsid w:val="478F605D"/>
    <w:rsid w:val="47A603FE"/>
    <w:rsid w:val="47B84838"/>
    <w:rsid w:val="484C25FE"/>
    <w:rsid w:val="489D5DB0"/>
    <w:rsid w:val="48B843DB"/>
    <w:rsid w:val="492E589F"/>
    <w:rsid w:val="4983062C"/>
    <w:rsid w:val="49F153DD"/>
    <w:rsid w:val="4A642A4C"/>
    <w:rsid w:val="4A6C3E97"/>
    <w:rsid w:val="4A96396C"/>
    <w:rsid w:val="4B3B40FA"/>
    <w:rsid w:val="4B737AD7"/>
    <w:rsid w:val="4B7A7462"/>
    <w:rsid w:val="4BDC75E2"/>
    <w:rsid w:val="4BFC4827"/>
    <w:rsid w:val="4C5B2C5A"/>
    <w:rsid w:val="4D3A7EED"/>
    <w:rsid w:val="4D6F6618"/>
    <w:rsid w:val="4D881740"/>
    <w:rsid w:val="4DAD3EFF"/>
    <w:rsid w:val="4DB146E6"/>
    <w:rsid w:val="4E4A6258"/>
    <w:rsid w:val="4E6728FD"/>
    <w:rsid w:val="4E7E09D4"/>
    <w:rsid w:val="4ECD0602"/>
    <w:rsid w:val="4EF16577"/>
    <w:rsid w:val="4F664C06"/>
    <w:rsid w:val="4F8F6EC1"/>
    <w:rsid w:val="4F9714A0"/>
    <w:rsid w:val="4FAA1D01"/>
    <w:rsid w:val="4FC71258"/>
    <w:rsid w:val="502B3F12"/>
    <w:rsid w:val="50330D6F"/>
    <w:rsid w:val="50582D8E"/>
    <w:rsid w:val="50B0059A"/>
    <w:rsid w:val="50C6193C"/>
    <w:rsid w:val="50F04F55"/>
    <w:rsid w:val="51170698"/>
    <w:rsid w:val="511F5251"/>
    <w:rsid w:val="511F5AA4"/>
    <w:rsid w:val="512D0A9D"/>
    <w:rsid w:val="513E2AD6"/>
    <w:rsid w:val="51640797"/>
    <w:rsid w:val="517C3C40"/>
    <w:rsid w:val="51A2722D"/>
    <w:rsid w:val="51A931DD"/>
    <w:rsid w:val="5248717C"/>
    <w:rsid w:val="526712BE"/>
    <w:rsid w:val="52D214C8"/>
    <w:rsid w:val="535B2E50"/>
    <w:rsid w:val="53B87967"/>
    <w:rsid w:val="53BF6572"/>
    <w:rsid w:val="546E4D68"/>
    <w:rsid w:val="54A739F6"/>
    <w:rsid w:val="54B56AB3"/>
    <w:rsid w:val="54D972A0"/>
    <w:rsid w:val="54E37180"/>
    <w:rsid w:val="54F20968"/>
    <w:rsid w:val="552A0190"/>
    <w:rsid w:val="557A3387"/>
    <w:rsid w:val="55802710"/>
    <w:rsid w:val="55CA7E72"/>
    <w:rsid w:val="56321BBE"/>
    <w:rsid w:val="56B31C4E"/>
    <w:rsid w:val="57AE6985"/>
    <w:rsid w:val="582F683A"/>
    <w:rsid w:val="589A0AE2"/>
    <w:rsid w:val="58B62318"/>
    <w:rsid w:val="590B7824"/>
    <w:rsid w:val="597C685E"/>
    <w:rsid w:val="5A0E08D3"/>
    <w:rsid w:val="5A494CAD"/>
    <w:rsid w:val="5A496382"/>
    <w:rsid w:val="5A841633"/>
    <w:rsid w:val="5A8B0CE1"/>
    <w:rsid w:val="5AE75C4B"/>
    <w:rsid w:val="5B3E42C0"/>
    <w:rsid w:val="5BE34A4E"/>
    <w:rsid w:val="5C037501"/>
    <w:rsid w:val="5C9003EA"/>
    <w:rsid w:val="5CC71FCE"/>
    <w:rsid w:val="5CEA77FF"/>
    <w:rsid w:val="5D207CD9"/>
    <w:rsid w:val="5D410290"/>
    <w:rsid w:val="5DAF2632"/>
    <w:rsid w:val="5DEE5DA8"/>
    <w:rsid w:val="5E59414A"/>
    <w:rsid w:val="5E611EA8"/>
    <w:rsid w:val="5EA0364D"/>
    <w:rsid w:val="5ED44DA1"/>
    <w:rsid w:val="5F7A0DB2"/>
    <w:rsid w:val="5F845368"/>
    <w:rsid w:val="5F940EF9"/>
    <w:rsid w:val="601B0FA7"/>
    <w:rsid w:val="60A55345"/>
    <w:rsid w:val="60DA41F1"/>
    <w:rsid w:val="60EF7F88"/>
    <w:rsid w:val="6182661D"/>
    <w:rsid w:val="61D14789"/>
    <w:rsid w:val="61DF3A9F"/>
    <w:rsid w:val="62141753"/>
    <w:rsid w:val="62572464"/>
    <w:rsid w:val="627D223D"/>
    <w:rsid w:val="62E53885"/>
    <w:rsid w:val="62F7495D"/>
    <w:rsid w:val="6329792F"/>
    <w:rsid w:val="6354115D"/>
    <w:rsid w:val="640A4C75"/>
    <w:rsid w:val="641649C3"/>
    <w:rsid w:val="64451C8F"/>
    <w:rsid w:val="644D291F"/>
    <w:rsid w:val="64503F79"/>
    <w:rsid w:val="64530FA5"/>
    <w:rsid w:val="64731F0B"/>
    <w:rsid w:val="64A2599C"/>
    <w:rsid w:val="6617798C"/>
    <w:rsid w:val="66430289"/>
    <w:rsid w:val="66AA1D93"/>
    <w:rsid w:val="66D26D27"/>
    <w:rsid w:val="66FD7100"/>
    <w:rsid w:val="670349CA"/>
    <w:rsid w:val="675B449D"/>
    <w:rsid w:val="675E5A5F"/>
    <w:rsid w:val="679226FC"/>
    <w:rsid w:val="67D4101E"/>
    <w:rsid w:val="67EB2D8A"/>
    <w:rsid w:val="67EB721F"/>
    <w:rsid w:val="684C53AD"/>
    <w:rsid w:val="68CC7B01"/>
    <w:rsid w:val="68E67E82"/>
    <w:rsid w:val="69A01157"/>
    <w:rsid w:val="6A0E557B"/>
    <w:rsid w:val="6A2471B2"/>
    <w:rsid w:val="6A5401FE"/>
    <w:rsid w:val="6A721E1D"/>
    <w:rsid w:val="6A7711BA"/>
    <w:rsid w:val="6AFB7215"/>
    <w:rsid w:val="6B3D1E7D"/>
    <w:rsid w:val="6BC81837"/>
    <w:rsid w:val="6BD25174"/>
    <w:rsid w:val="6C3D7044"/>
    <w:rsid w:val="6C4A64A1"/>
    <w:rsid w:val="6DB85CD8"/>
    <w:rsid w:val="6DFB42FF"/>
    <w:rsid w:val="6DFD7802"/>
    <w:rsid w:val="6E4A407E"/>
    <w:rsid w:val="6E992E86"/>
    <w:rsid w:val="6EE73C2D"/>
    <w:rsid w:val="6F113E47"/>
    <w:rsid w:val="6F2443B5"/>
    <w:rsid w:val="6F30705D"/>
    <w:rsid w:val="6F3A720A"/>
    <w:rsid w:val="6F4A5808"/>
    <w:rsid w:val="6FB33650"/>
    <w:rsid w:val="6FF61F32"/>
    <w:rsid w:val="70745987"/>
    <w:rsid w:val="70964DE9"/>
    <w:rsid w:val="70DB4A60"/>
    <w:rsid w:val="71132313"/>
    <w:rsid w:val="712447AC"/>
    <w:rsid w:val="717B51BA"/>
    <w:rsid w:val="7237656E"/>
    <w:rsid w:val="724243C9"/>
    <w:rsid w:val="72500661"/>
    <w:rsid w:val="726E34C9"/>
    <w:rsid w:val="727A3839"/>
    <w:rsid w:val="72EC1B99"/>
    <w:rsid w:val="732C6B7A"/>
    <w:rsid w:val="73785000"/>
    <w:rsid w:val="738A079E"/>
    <w:rsid w:val="7523492C"/>
    <w:rsid w:val="75630AF4"/>
    <w:rsid w:val="756454D6"/>
    <w:rsid w:val="75AF1087"/>
    <w:rsid w:val="75B54947"/>
    <w:rsid w:val="75D44E5F"/>
    <w:rsid w:val="760C71B7"/>
    <w:rsid w:val="76294569"/>
    <w:rsid w:val="7635037C"/>
    <w:rsid w:val="765950B8"/>
    <w:rsid w:val="765A0671"/>
    <w:rsid w:val="768B7978"/>
    <w:rsid w:val="76C57C6B"/>
    <w:rsid w:val="76CF057A"/>
    <w:rsid w:val="77A02812"/>
    <w:rsid w:val="784E1CF0"/>
    <w:rsid w:val="79416D2A"/>
    <w:rsid w:val="795939E6"/>
    <w:rsid w:val="7984759A"/>
    <w:rsid w:val="7A531A3C"/>
    <w:rsid w:val="7ACC0321"/>
    <w:rsid w:val="7AFF21C7"/>
    <w:rsid w:val="7B1750CC"/>
    <w:rsid w:val="7B3429AD"/>
    <w:rsid w:val="7B97A01A"/>
    <w:rsid w:val="7BA74207"/>
    <w:rsid w:val="7BBD75BA"/>
    <w:rsid w:val="7BC94525"/>
    <w:rsid w:val="7C122FF1"/>
    <w:rsid w:val="7C1C1CD5"/>
    <w:rsid w:val="7C896E6C"/>
    <w:rsid w:val="7C96422C"/>
    <w:rsid w:val="7CD97482"/>
    <w:rsid w:val="7D0A22EE"/>
    <w:rsid w:val="7D2F72F0"/>
    <w:rsid w:val="7DD26FEA"/>
    <w:rsid w:val="7E4F51C9"/>
    <w:rsid w:val="7E8E31D1"/>
    <w:rsid w:val="7E8E6A20"/>
    <w:rsid w:val="7F127F47"/>
    <w:rsid w:val="7F255CC0"/>
    <w:rsid w:val="7FB36CBB"/>
    <w:rsid w:val="7FF22B74"/>
    <w:rsid w:val="7FF24572"/>
    <w:rsid w:val="DFFCD1A0"/>
    <w:rsid w:val="EEBFC9BD"/>
    <w:rsid w:val="FFFF67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4"/>
    <w:qFormat/>
    <w:uiPriority w:val="0"/>
    <w:pPr>
      <w:keepNext/>
      <w:keepLines/>
      <w:widowControl/>
      <w:numPr>
        <w:ilvl w:val="0"/>
        <w:numId w:val="1"/>
      </w:numPr>
      <w:spacing w:before="120" w:after="120" w:line="360" w:lineRule="auto"/>
      <w:jc w:val="center"/>
      <w:outlineLvl w:val="0"/>
    </w:pPr>
    <w:rPr>
      <w:b/>
      <w:caps/>
      <w:color w:val="0000FF"/>
      <w:kern w:val="36"/>
      <w:sz w:val="22"/>
      <w:szCs w:val="22"/>
      <w:lang w:eastAsia="ko-KR"/>
    </w:rPr>
  </w:style>
  <w:style w:type="paragraph" w:styleId="2">
    <w:name w:val="heading 2"/>
    <w:basedOn w:val="1"/>
    <w:next w:val="1"/>
    <w:link w:val="25"/>
    <w:qFormat/>
    <w:uiPriority w:val="0"/>
    <w:pPr>
      <w:keepNext/>
      <w:keepLines/>
      <w:widowControl/>
      <w:numPr>
        <w:ilvl w:val="1"/>
        <w:numId w:val="1"/>
      </w:numPr>
      <w:tabs>
        <w:tab w:val="left" w:pos="720"/>
      </w:tabs>
      <w:spacing w:after="240" w:line="240" w:lineRule="exact"/>
      <w:outlineLvl w:val="1"/>
    </w:pPr>
    <w:rPr>
      <w:b/>
      <w:color w:val="0000FF"/>
      <w:kern w:val="0"/>
      <w:sz w:val="22"/>
      <w:szCs w:val="22"/>
      <w:lang w:eastAsia="ko-KR"/>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9"/>
    <w:unhideWhenUsed/>
    <w:qFormat/>
    <w:uiPriority w:val="99"/>
    <w:pPr>
      <w:jc w:val="left"/>
    </w:pPr>
  </w:style>
  <w:style w:type="paragraph" w:styleId="5">
    <w:name w:val="Body Text"/>
    <w:basedOn w:val="1"/>
    <w:next w:val="1"/>
    <w:link w:val="26"/>
    <w:qFormat/>
    <w:uiPriority w:val="0"/>
    <w:pPr>
      <w:ind w:firstLine="1440"/>
    </w:pPr>
    <w:rPr>
      <w:rFonts w:eastAsia="Batang"/>
      <w:kern w:val="0"/>
      <w:sz w:val="22"/>
      <w:szCs w:val="22"/>
      <w:lang w:eastAsia="ko-KR"/>
    </w:rPr>
  </w:style>
  <w:style w:type="paragraph" w:styleId="6">
    <w:name w:val="index 4"/>
    <w:basedOn w:val="1"/>
    <w:next w:val="1"/>
    <w:qFormat/>
    <w:uiPriority w:val="0"/>
    <w:pPr>
      <w:ind w:firstLine="712" w:firstLineChars="200"/>
    </w:pPr>
    <w:rPr>
      <w:szCs w:val="24"/>
    </w:rPr>
  </w:style>
  <w:style w:type="paragraph" w:styleId="7">
    <w:name w:val="Date"/>
    <w:basedOn w:val="1"/>
    <w:next w:val="1"/>
    <w:link w:val="30"/>
    <w:unhideWhenUsed/>
    <w:qFormat/>
    <w:uiPriority w:val="99"/>
    <w:pPr>
      <w:ind w:left="100" w:leftChars="2500"/>
    </w:pPr>
  </w:style>
  <w:style w:type="paragraph" w:styleId="8">
    <w:name w:val="Body Text Indent 2"/>
    <w:basedOn w:val="1"/>
    <w:link w:val="27"/>
    <w:qFormat/>
    <w:uiPriority w:val="0"/>
    <w:pPr>
      <w:spacing w:after="120" w:line="480" w:lineRule="auto"/>
      <w:ind w:left="200" w:leftChars="200"/>
    </w:pPr>
  </w:style>
  <w:style w:type="paragraph" w:styleId="9">
    <w:name w:val="Balloon Text"/>
    <w:basedOn w:val="1"/>
    <w:link w:val="31"/>
    <w:unhideWhenUsed/>
    <w:qFormat/>
    <w:uiPriority w:val="99"/>
    <w:rPr>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spacing w:beforeAutospacing="1" w:afterAutospacing="1"/>
      <w:jc w:val="left"/>
    </w:pPr>
    <w:rPr>
      <w:kern w:val="0"/>
      <w:sz w:val="24"/>
    </w:rPr>
  </w:style>
  <w:style w:type="paragraph" w:styleId="13">
    <w:name w:val="annotation subject"/>
    <w:basedOn w:val="4"/>
    <w:next w:val="4"/>
    <w:link w:val="40"/>
    <w:semiHidden/>
    <w:unhideWhenUsed/>
    <w:qFormat/>
    <w:uiPriority w:val="99"/>
    <w:rPr>
      <w:b/>
      <w:bCs/>
    </w:rPr>
  </w:style>
  <w:style w:type="paragraph" w:styleId="14">
    <w:name w:val="Body Text First Indent"/>
    <w:basedOn w:val="5"/>
    <w:qFormat/>
    <w:uiPriority w:val="0"/>
    <w:pPr>
      <w:spacing w:after="120"/>
      <w:ind w:firstLine="420"/>
    </w:pPr>
    <w:rPr>
      <w:rFonts w:eastAsia="宋体"/>
      <w:kern w:val="2"/>
      <w:sz w:val="21"/>
      <w:szCs w:val="20"/>
      <w:lang w:eastAsia="zh-CN"/>
    </w:rPr>
  </w:style>
  <w:style w:type="table" w:styleId="16">
    <w:name w:val="Table Grid"/>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page number"/>
    <w:basedOn w:val="17"/>
    <w:qFormat/>
    <w:uiPriority w:val="0"/>
  </w:style>
  <w:style w:type="character" w:styleId="20">
    <w:name w:val="Hyperlink"/>
    <w:basedOn w:val="17"/>
    <w:semiHidden/>
    <w:unhideWhenUsed/>
    <w:qFormat/>
    <w:uiPriority w:val="99"/>
    <w:rPr>
      <w:color w:val="0000FF"/>
      <w:u w:val="single"/>
    </w:rPr>
  </w:style>
  <w:style w:type="character" w:styleId="21">
    <w:name w:val="annotation reference"/>
    <w:basedOn w:val="17"/>
    <w:qFormat/>
    <w:uiPriority w:val="0"/>
    <w:rPr>
      <w:sz w:val="21"/>
      <w:szCs w:val="21"/>
    </w:rPr>
  </w:style>
  <w:style w:type="character" w:customStyle="1" w:styleId="22">
    <w:name w:val="页眉 字符"/>
    <w:basedOn w:val="17"/>
    <w:link w:val="11"/>
    <w:qFormat/>
    <w:uiPriority w:val="99"/>
    <w:rPr>
      <w:sz w:val="18"/>
      <w:szCs w:val="18"/>
    </w:rPr>
  </w:style>
  <w:style w:type="character" w:customStyle="1" w:styleId="23">
    <w:name w:val="页脚 字符"/>
    <w:basedOn w:val="17"/>
    <w:link w:val="10"/>
    <w:qFormat/>
    <w:uiPriority w:val="99"/>
    <w:rPr>
      <w:sz w:val="18"/>
      <w:szCs w:val="18"/>
    </w:rPr>
  </w:style>
  <w:style w:type="character" w:customStyle="1" w:styleId="24">
    <w:name w:val="标题 1 字符"/>
    <w:basedOn w:val="17"/>
    <w:link w:val="3"/>
    <w:qFormat/>
    <w:uiPriority w:val="0"/>
    <w:rPr>
      <w:rFonts w:ascii="Times New Roman" w:hAnsi="Times New Roman" w:eastAsia="宋体" w:cs="Times New Roman"/>
      <w:b/>
      <w:caps/>
      <w:color w:val="0000FF"/>
      <w:kern w:val="36"/>
      <w:sz w:val="22"/>
      <w:lang w:eastAsia="ko-KR"/>
    </w:rPr>
  </w:style>
  <w:style w:type="character" w:customStyle="1" w:styleId="25">
    <w:name w:val="标题 2 字符"/>
    <w:basedOn w:val="17"/>
    <w:link w:val="2"/>
    <w:qFormat/>
    <w:uiPriority w:val="0"/>
    <w:rPr>
      <w:rFonts w:ascii="Times New Roman" w:hAnsi="Times New Roman" w:eastAsia="宋体" w:cs="Times New Roman"/>
      <w:b/>
      <w:color w:val="0000FF"/>
      <w:kern w:val="0"/>
      <w:sz w:val="22"/>
      <w:lang w:eastAsia="ko-KR"/>
    </w:rPr>
  </w:style>
  <w:style w:type="character" w:customStyle="1" w:styleId="26">
    <w:name w:val="正文文本 字符"/>
    <w:basedOn w:val="17"/>
    <w:link w:val="5"/>
    <w:qFormat/>
    <w:uiPriority w:val="0"/>
    <w:rPr>
      <w:rFonts w:ascii="Times New Roman" w:hAnsi="Times New Roman" w:eastAsia="Batang" w:cs="Times New Roman"/>
      <w:kern w:val="0"/>
      <w:sz w:val="22"/>
      <w:lang w:eastAsia="ko-KR"/>
    </w:rPr>
  </w:style>
  <w:style w:type="character" w:customStyle="1" w:styleId="27">
    <w:name w:val="正文文本缩进 2 字符"/>
    <w:basedOn w:val="17"/>
    <w:link w:val="8"/>
    <w:qFormat/>
    <w:uiPriority w:val="0"/>
    <w:rPr>
      <w:rFonts w:ascii="Times New Roman" w:hAnsi="Times New Roman" w:eastAsia="宋体" w:cs="Times New Roman"/>
      <w:szCs w:val="20"/>
    </w:rPr>
  </w:style>
  <w:style w:type="paragraph" w:customStyle="1" w:styleId="28">
    <w:name w:val="Body Text First Indent just"/>
    <w:next w:val="5"/>
    <w:qFormat/>
    <w:uiPriority w:val="0"/>
    <w:pPr>
      <w:spacing w:before="120" w:after="120" w:line="440" w:lineRule="exact"/>
      <w:ind w:firstLine="200" w:firstLineChars="200"/>
    </w:pPr>
    <w:rPr>
      <w:rFonts w:ascii="宋体" w:hAnsi="宋体" w:cs="宋体" w:eastAsiaTheme="minorEastAsia"/>
      <w:sz w:val="24"/>
      <w:szCs w:val="24"/>
      <w:lang w:val="en-US" w:eastAsia="zh-CN" w:bidi="ar-SA"/>
    </w:rPr>
  </w:style>
  <w:style w:type="paragraph" w:customStyle="1" w:styleId="29">
    <w:name w:val="Normal (Justified)"/>
    <w:basedOn w:val="1"/>
    <w:qFormat/>
    <w:uiPriority w:val="0"/>
    <w:pPr>
      <w:widowControl/>
    </w:pPr>
    <w:rPr>
      <w:snapToGrid w:val="0"/>
      <w:kern w:val="28"/>
      <w:sz w:val="24"/>
    </w:rPr>
  </w:style>
  <w:style w:type="character" w:customStyle="1" w:styleId="30">
    <w:name w:val="日期 字符"/>
    <w:basedOn w:val="17"/>
    <w:link w:val="7"/>
    <w:semiHidden/>
    <w:qFormat/>
    <w:uiPriority w:val="99"/>
    <w:rPr>
      <w:rFonts w:ascii="Times New Roman" w:hAnsi="Times New Roman" w:eastAsia="宋体" w:cs="Times New Roman"/>
      <w:szCs w:val="20"/>
    </w:rPr>
  </w:style>
  <w:style w:type="character" w:customStyle="1" w:styleId="31">
    <w:name w:val="批注框文本 字符"/>
    <w:basedOn w:val="17"/>
    <w:link w:val="9"/>
    <w:semiHidden/>
    <w:qFormat/>
    <w:uiPriority w:val="99"/>
    <w:rPr>
      <w:rFonts w:ascii="Times New Roman" w:hAnsi="Times New Roman" w:eastAsia="宋体" w:cs="Times New Roman"/>
      <w:sz w:val="18"/>
      <w:szCs w:val="18"/>
    </w:rPr>
  </w:style>
  <w:style w:type="paragraph" w:customStyle="1" w:styleId="32">
    <w:name w:val="Char Char Char"/>
    <w:basedOn w:val="1"/>
    <w:qFormat/>
    <w:uiPriority w:val="0"/>
    <w:pPr>
      <w:adjustRightInd w:val="0"/>
    </w:pPr>
    <w:rPr>
      <w:szCs w:val="24"/>
    </w:rPr>
  </w:style>
  <w:style w:type="paragraph" w:customStyle="1" w:styleId="33">
    <w:name w:val="列出段落1"/>
    <w:basedOn w:val="1"/>
    <w:unhideWhenUsed/>
    <w:qFormat/>
    <w:uiPriority w:val="99"/>
    <w:pPr>
      <w:ind w:firstLine="420" w:firstLineChars="200"/>
    </w:pPr>
  </w:style>
  <w:style w:type="paragraph" w:customStyle="1" w:styleId="34">
    <w:name w:val="Char Char Char1"/>
    <w:basedOn w:val="1"/>
    <w:qFormat/>
    <w:uiPriority w:val="0"/>
    <w:pPr>
      <w:adjustRightInd w:val="0"/>
    </w:pPr>
    <w:rPr>
      <w:szCs w:val="24"/>
    </w:rPr>
  </w:style>
  <w:style w:type="paragraph" w:customStyle="1" w:styleId="35">
    <w:name w:val="Date1"/>
    <w:basedOn w:val="1"/>
    <w:next w:val="29"/>
    <w:link w:val="36"/>
    <w:qFormat/>
    <w:uiPriority w:val="0"/>
    <w:pPr>
      <w:widowControl/>
      <w:spacing w:after="200" w:line="276" w:lineRule="auto"/>
      <w:jc w:val="center"/>
    </w:pPr>
    <w:rPr>
      <w:kern w:val="0"/>
      <w:sz w:val="24"/>
    </w:rPr>
  </w:style>
  <w:style w:type="character" w:customStyle="1" w:styleId="36">
    <w:name w:val="Date Char Char"/>
    <w:link w:val="35"/>
    <w:qFormat/>
    <w:uiPriority w:val="0"/>
    <w:rPr>
      <w:sz w:val="24"/>
    </w:rPr>
  </w:style>
  <w:style w:type="character" w:customStyle="1" w:styleId="37">
    <w:name w:val="type11"/>
    <w:qFormat/>
    <w:uiPriority w:val="0"/>
    <w:rPr>
      <w:rFonts w:ascii="Times New Roman" w:hAnsi="Times New Roman" w:eastAsia="宋体" w:cs="Times New Roman"/>
      <w:color w:val="000000"/>
      <w:sz w:val="24"/>
      <w:szCs w:val="24"/>
      <w:u w:val="none"/>
    </w:rPr>
  </w:style>
  <w:style w:type="paragraph" w:customStyle="1" w:styleId="38">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39">
    <w:name w:val="批注文字 字符"/>
    <w:basedOn w:val="17"/>
    <w:link w:val="4"/>
    <w:qFormat/>
    <w:uiPriority w:val="99"/>
    <w:rPr>
      <w:kern w:val="2"/>
      <w:sz w:val="21"/>
    </w:rPr>
  </w:style>
  <w:style w:type="character" w:customStyle="1" w:styleId="40">
    <w:name w:val="批注主题 字符"/>
    <w:basedOn w:val="39"/>
    <w:link w:val="13"/>
    <w:semiHidden/>
    <w:qFormat/>
    <w:uiPriority w:val="99"/>
    <w:rPr>
      <w:b/>
      <w:bCs/>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71541-A2D8-4EA6-8839-2A0B0CD0C602}">
  <ds:schemaRefs/>
</ds:datastoreItem>
</file>

<file path=docProps/app.xml><?xml version="1.0" encoding="utf-8"?>
<Properties xmlns="http://schemas.openxmlformats.org/officeDocument/2006/extended-properties" xmlns:vt="http://schemas.openxmlformats.org/officeDocument/2006/docPropsVTypes">
  <Template>Normal</Template>
  <Company>中国华融资产管理公司</Company>
  <Pages>35</Pages>
  <Words>3104</Words>
  <Characters>17699</Characters>
  <Lines>147</Lines>
  <Paragraphs>41</Paragraphs>
  <TotalTime>24</TotalTime>
  <ScaleCrop>false</ScaleCrop>
  <LinksUpToDate>false</LinksUpToDate>
  <CharactersWithSpaces>20762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2012-12-06T00:25:00Z</dcterms:created>
  <dc:creator>张媛媛</dc:creator>
  <cp:lastModifiedBy>龙瀛</cp:lastModifiedBy>
  <cp:lastPrinted>2017-11-07T19:15:00Z</cp:lastPrinted>
  <dcterms:modified xsi:type="dcterms:W3CDTF">2026-05-19T09:27:49Z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7A8DEC92D6C47BDBA81A0C6AA80CFF6E_43</vt:lpwstr>
  </property>
</Properties>
</file>