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bookmarkStart w:id="0" w:name="_GoBack"/>
      <w:bookmarkEnd w:id="0"/>
      <w:r>
        <w:rPr>
          <w:rFonts w:hint="eastAsia"/>
          <w:lang w:val="en-US" w:eastAsia="zh-CN"/>
        </w:rPr>
        <w:t>债权购买主体确认函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我个人/企业，XXX，身份证号码/统一社会信用代码：XXX ，已经知悉购买债权的交易对象的要求，不属于限制购买主体：国家公务员；金融监管机构工作人员；政法干警；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原债务人的管理层；上述主体出资成立的法人机构或特殊目的实体；国家金融监督管理总局认定的其他不宜受让的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我方确认不属于限制购买债权的主体，如我方因不符合条件参加竞买的，由我方自行承担相应的法律责任，放弃追究中国中信金融资产管理股份有限公司甘肃省分公司的任何责任。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840" w:firstLineChars="1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公章/签字手印：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80" w:firstLineChars="1900"/>
        <w:jc w:val="both"/>
        <w:textAlignment w:val="auto"/>
        <w:outlineLvl w:val="9"/>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   年   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A7424"/>
    <w:rsid w:val="1C0034A9"/>
    <w:rsid w:val="1D4765E5"/>
    <w:rsid w:val="2DFA2D86"/>
    <w:rsid w:val="344D7CD3"/>
    <w:rsid w:val="35134370"/>
    <w:rsid w:val="412F6D49"/>
    <w:rsid w:val="50B94912"/>
    <w:rsid w:val="6693239E"/>
    <w:rsid w:val="71843F67"/>
    <w:rsid w:val="78D2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5"/>
    <w:next w:val="5"/>
    <w:unhideWhenUsed/>
    <w:qFormat/>
    <w:uiPriority w:val="9"/>
    <w:pPr>
      <w:keepNext/>
      <w:keepLines/>
      <w:spacing w:before="260" w:after="260" w:line="416" w:lineRule="auto"/>
      <w:outlineLvl w:val="2"/>
    </w:pPr>
    <w:rPr>
      <w:rFonts w:eastAsia="仿宋_GB2312"/>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style>
  <w:style w:type="paragraph" w:styleId="5">
    <w:name w:val="Body Text"/>
    <w:basedOn w:val="1"/>
    <w:next w:val="1"/>
    <w:qFormat/>
    <w:uiPriority w:val="0"/>
    <w:pPr>
      <w:ind w:right="25" w:rightChars="12"/>
      <w:jc w:val="center"/>
    </w:pPr>
    <w:rPr>
      <w:rFonts w:ascii="宋体" w:hAnsi="宋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zhaolanzhen</dc:creator>
  <cp:lastModifiedBy>xiexiaoxue</cp:lastModifiedBy>
  <dcterms:modified xsi:type="dcterms:W3CDTF">2026-06-15T08:12:13Z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C4D6E856CC1744C0B17F8E421A9C61C6</vt:lpwstr>
  </property>
</Properties>
</file>