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2891" w:firstLineChars="800"/>
        <w:jc w:val="both"/>
        <w:textAlignment w:val="auto"/>
        <w:rPr>
          <w:rFonts w:hint="eastAsia" w:ascii="宋体" w:hAnsi="宋体" w:eastAsia="宋体" w:cs="Times New Roman"/>
          <w:b/>
          <w:bCs/>
          <w:color w:val="666666"/>
          <w:kern w:val="0"/>
          <w:sz w:val="36"/>
        </w:rPr>
      </w:pPr>
      <w:r>
        <w:rPr>
          <w:rFonts w:hint="eastAsia" w:ascii="宋体" w:hAnsi="宋体" w:eastAsia="宋体" w:cs="Times New Roman"/>
          <w:b/>
          <w:bCs/>
          <w:color w:val="666666"/>
          <w:kern w:val="0"/>
          <w:sz w:val="36"/>
        </w:rPr>
        <w:t>竞 买 须 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val="0"/>
          <w:kern w:val="2"/>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val="0"/>
          <w:kern w:val="2"/>
          <w:sz w:val="24"/>
          <w:szCs w:val="24"/>
          <w:u w:val="none"/>
          <w:lang w:val="en-US" w:eastAsia="zh-CN"/>
        </w:rPr>
      </w:pPr>
      <w:r>
        <w:rPr>
          <w:rFonts w:hint="eastAsia" w:asciiTheme="minorEastAsia" w:hAnsiTheme="minorEastAsia" w:eastAsiaTheme="minorEastAsia" w:cstheme="minorEastAsia"/>
          <w:bCs w:val="0"/>
          <w:kern w:val="2"/>
          <w:sz w:val="24"/>
          <w:szCs w:val="24"/>
          <w:u w:val="none"/>
          <w:lang w:val="en-US" w:eastAsia="zh-CN"/>
        </w:rPr>
        <w:t>中国中信金融资产管理股份有限公司贵州省分公司（以下简称“本公司”或“我方”）</w:t>
      </w:r>
      <w:r>
        <w:rPr>
          <w:rFonts w:hint="eastAsia" w:asciiTheme="minorEastAsia" w:hAnsiTheme="minorEastAsia" w:eastAsiaTheme="minorEastAsia" w:cstheme="minorEastAsia"/>
          <w:color w:val="auto"/>
          <w:kern w:val="2"/>
          <w:sz w:val="24"/>
          <w:szCs w:val="24"/>
        </w:rPr>
        <w:t>定于</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5</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19</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时起至</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5</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20</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rPr>
        <w:t>时</w:t>
      </w:r>
      <w:r>
        <w:rPr>
          <w:rFonts w:hint="eastAsia" w:asciiTheme="minorEastAsia" w:hAnsiTheme="minorEastAsia" w:eastAsiaTheme="minorEastAsia" w:cstheme="minorEastAsia"/>
          <w:color w:val="auto"/>
          <w:kern w:val="2"/>
          <w:sz w:val="24"/>
          <w:szCs w:val="24"/>
        </w:rPr>
        <w:t>止（延时除外）在</w:t>
      </w:r>
      <w:r>
        <w:rPr>
          <w:rFonts w:hint="eastAsia" w:asciiTheme="minorEastAsia" w:hAnsiTheme="minorEastAsia" w:eastAsiaTheme="minorEastAsia" w:cstheme="minorEastAsia"/>
          <w:bCs w:val="0"/>
          <w:kern w:val="2"/>
          <w:sz w:val="24"/>
          <w:szCs w:val="24"/>
          <w:highlight w:val="none"/>
          <w:u w:val="none"/>
          <w:lang w:val="en-US" w:eastAsia="zh-CN"/>
        </w:rPr>
        <w:t>京东资产拍卖平台（</w:t>
      </w:r>
      <w:r>
        <w:rPr>
          <w:rFonts w:hint="eastAsia" w:asciiTheme="minorEastAsia" w:hAnsiTheme="minorEastAsia" w:eastAsiaTheme="minorEastAsia" w:cstheme="minorEastAsia"/>
          <w:bCs w:val="0"/>
          <w:kern w:val="2"/>
          <w:sz w:val="24"/>
          <w:szCs w:val="24"/>
          <w:u w:val="none"/>
          <w:lang w:val="en-US" w:eastAsia="zh-CN"/>
        </w:rPr>
        <w:t>网址：</w:t>
      </w:r>
      <w:r>
        <w:rPr>
          <w:rFonts w:hint="eastAsia" w:asciiTheme="minorEastAsia" w:hAnsiTheme="minorEastAsia" w:eastAsiaTheme="minorEastAsia" w:cstheme="minorEastAsia"/>
          <w:bCs w:val="0"/>
          <w:kern w:val="2"/>
          <w:sz w:val="24"/>
          <w:szCs w:val="24"/>
          <w:u w:val="none"/>
          <w:lang w:val="en-US" w:eastAsia="zh-CN"/>
        </w:rPr>
        <w:fldChar w:fldCharType="begin"/>
      </w:r>
      <w:r>
        <w:rPr>
          <w:rFonts w:hint="eastAsia" w:asciiTheme="minorEastAsia" w:hAnsiTheme="minorEastAsia" w:eastAsiaTheme="minorEastAsia" w:cstheme="minorEastAsia"/>
          <w:bCs w:val="0"/>
          <w:kern w:val="2"/>
          <w:sz w:val="24"/>
          <w:szCs w:val="24"/>
          <w:u w:val="none"/>
          <w:lang w:val="en-US" w:eastAsia="zh-CN"/>
        </w:rPr>
        <w:instrText xml:space="preserve"> HYPERLINK "http://zc-paimai.taobao.com" </w:instrText>
      </w:r>
      <w:r>
        <w:rPr>
          <w:rFonts w:hint="eastAsia" w:asciiTheme="minorEastAsia" w:hAnsiTheme="minorEastAsia" w:eastAsiaTheme="minorEastAsia" w:cstheme="minorEastAsia"/>
          <w:bCs w:val="0"/>
          <w:kern w:val="2"/>
          <w:sz w:val="24"/>
          <w:szCs w:val="24"/>
          <w:u w:val="none"/>
          <w:lang w:val="en-US" w:eastAsia="zh-CN"/>
        </w:rPr>
        <w:fldChar w:fldCharType="separate"/>
      </w:r>
      <w:r>
        <w:rPr>
          <w:rFonts w:hint="eastAsia" w:asciiTheme="minorEastAsia" w:hAnsiTheme="minorEastAsia" w:eastAsiaTheme="minorEastAsia" w:cstheme="minorEastAsia"/>
          <w:bCs w:val="0"/>
          <w:kern w:val="2"/>
          <w:sz w:val="24"/>
          <w:szCs w:val="24"/>
          <w:u w:val="none"/>
          <w:lang w:val="en-US" w:eastAsia="zh-CN"/>
        </w:rPr>
        <w:t>http://paimai.jd.com</w:t>
      </w:r>
      <w:r>
        <w:rPr>
          <w:rFonts w:hint="eastAsia" w:asciiTheme="minorEastAsia" w:hAnsiTheme="minorEastAsia" w:eastAsiaTheme="minorEastAsia" w:cstheme="minorEastAsia"/>
          <w:bCs w:val="0"/>
          <w:kern w:val="2"/>
          <w:sz w:val="24"/>
          <w:szCs w:val="24"/>
          <w:u w:val="none"/>
          <w:lang w:val="en-US" w:eastAsia="zh-CN"/>
        </w:rPr>
        <w:fldChar w:fldCharType="end"/>
      </w:r>
      <w:r>
        <w:rPr>
          <w:rFonts w:hint="eastAsia" w:asciiTheme="minorEastAsia" w:hAnsiTheme="minorEastAsia" w:eastAsiaTheme="minorEastAsia" w:cstheme="minorEastAsia"/>
          <w:bCs w:val="0"/>
          <w:kern w:val="2"/>
          <w:sz w:val="24"/>
          <w:szCs w:val="24"/>
          <w:u w:val="none"/>
          <w:lang w:val="en-US" w:eastAsia="zh-CN"/>
        </w:rPr>
        <w:t>)进行公开竞价活动，现就有关网络竞价事宜敬告各位竞买人：</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竞买</w:t>
      </w:r>
      <w:r>
        <w:rPr>
          <w:rFonts w:hint="eastAsia" w:asciiTheme="minorEastAsia" w:hAnsiTheme="minorEastAsia" w:eastAsiaTheme="minorEastAsia" w:cstheme="minorEastAsia"/>
          <w:b/>
          <w:bCs/>
          <w:color w:val="auto"/>
          <w:kern w:val="2"/>
          <w:sz w:val="24"/>
          <w:szCs w:val="24"/>
          <w:lang w:val="en-US" w:eastAsia="zh-CN"/>
        </w:rPr>
        <w:t>人</w:t>
      </w:r>
      <w:r>
        <w:rPr>
          <w:rFonts w:hint="eastAsia" w:asciiTheme="minorEastAsia" w:hAnsiTheme="minorEastAsia" w:eastAsiaTheme="minorEastAsia" w:cstheme="minorEastAsia"/>
          <w:b/>
          <w:bCs/>
          <w:color w:val="auto"/>
          <w:kern w:val="2"/>
          <w:sz w:val="24"/>
          <w:szCs w:val="24"/>
        </w:rPr>
        <w:t>在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firstLine="480" w:firstLineChars="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一、标的资产要素</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default" w:asciiTheme="minorEastAsia" w:hAnsiTheme="minorEastAsia" w:eastAsiaTheme="minorEastAsia" w:cstheme="minorEastAsia"/>
          <w:bCs w:val="0"/>
          <w:kern w:val="2"/>
          <w:sz w:val="24"/>
          <w:szCs w:val="24"/>
          <w:u w:val="none"/>
          <w:lang w:val="en-US" w:eastAsia="zh-CN"/>
        </w:rPr>
      </w:pPr>
      <w:r>
        <w:rPr>
          <w:rFonts w:hint="eastAsia" w:asciiTheme="minorEastAsia" w:hAnsiTheme="minorEastAsia" w:eastAsiaTheme="minorEastAsia" w:cstheme="minorEastAsia"/>
          <w:bCs w:val="0"/>
          <w:kern w:val="2"/>
          <w:sz w:val="24"/>
          <w:szCs w:val="24"/>
          <w:u w:val="none"/>
          <w:lang w:val="en-US" w:eastAsia="zh-CN"/>
        </w:rPr>
        <w:t>（一）转让方：中国中信金融资产管理股份有限公司贵州省分公司。</w:t>
      </w:r>
    </w:p>
    <w:p>
      <w:pPr>
        <w:keepNext w:val="0"/>
        <w:keepLines w:val="0"/>
        <w:pageBreakBefore w:val="0"/>
        <w:widowControl/>
        <w:kinsoku/>
        <w:wordWrap/>
        <w:overflowPunct/>
        <w:topLinePunct w:val="0"/>
        <w:autoSpaceDE/>
        <w:autoSpaceDN/>
        <w:bidi w:val="0"/>
        <w:adjustRightInd/>
        <w:snapToGrid/>
        <w:spacing w:line="360" w:lineRule="auto"/>
        <w:ind w:right="0" w:firstLine="480" w:firstLineChars="0"/>
        <w:jc w:val="left"/>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bCs w:val="0"/>
          <w:kern w:val="2"/>
          <w:sz w:val="24"/>
          <w:szCs w:val="24"/>
          <w:u w:val="none"/>
          <w:lang w:val="en-US" w:eastAsia="zh-CN"/>
        </w:rPr>
        <w:t>（二）竞拍标的：我方</w:t>
      </w:r>
      <w:r>
        <w:rPr>
          <w:rFonts w:hint="eastAsia" w:asciiTheme="minorEastAsia" w:hAnsiTheme="minorEastAsia" w:eastAsiaTheme="minorEastAsia" w:cstheme="minorEastAsia"/>
          <w:color w:val="auto"/>
          <w:kern w:val="2"/>
          <w:sz w:val="24"/>
          <w:szCs w:val="24"/>
          <w:lang w:val="en-US" w:eastAsia="zh-CN"/>
        </w:rPr>
        <w:t>通过司法程序以物抵债（依据人民法院生效的（2021）黔2601执恢213号之十九《执行裁定书》）取得的位于凯里经济开发区香山别苑四期4幢、5幢商业房屋、地下车位所有权及相关权利（以下简称“标的资产”），明细如下：</w:t>
      </w:r>
    </w:p>
    <w:tbl>
      <w:tblPr>
        <w:tblStyle w:val="8"/>
        <w:tblpPr w:leftFromText="180" w:rightFromText="180" w:vertAnchor="text" w:horzAnchor="page" w:tblpX="1793" w:tblpY="11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7"/>
        <w:gridCol w:w="1645"/>
        <w:gridCol w:w="1112"/>
        <w:gridCol w:w="882"/>
        <w:gridCol w:w="1145"/>
        <w:gridCol w:w="1067"/>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名称</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类型</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房号</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所在楼层</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面积（㎡）   </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2350.55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2350.55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2971.6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3382.61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3382.6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实为临街2层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3528" w:type="pct"/>
            <w:gridSpan w:val="5"/>
            <w:noWrap w:val="0"/>
            <w:tcMar>
              <w:top w:w="15" w:type="dxa"/>
              <w:left w:w="15" w:type="dxa"/>
              <w:right w:w="15" w:type="dxa"/>
            </w:tcMar>
            <w:vAlign w:val="center"/>
          </w:tcPr>
          <w:p>
            <w:pPr>
              <w:keepNext w:val="0"/>
              <w:keepLines w:val="0"/>
              <w:pageBreakBefore w:val="0"/>
              <w:kinsoku/>
              <w:topLinePunct w:val="0"/>
              <w:autoSpaceDE/>
              <w:autoSpaceDN/>
              <w:bidi w:val="0"/>
              <w:snapToGrid/>
              <w:spacing w:line="400" w:lineRule="exact"/>
              <w:ind w:firstLine="0" w:firstLineChars="0"/>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kern w:val="0"/>
                <w:sz w:val="21"/>
                <w:szCs w:val="21"/>
                <w:u w:val="none"/>
                <w:lang w:val="en-US" w:eastAsia="zh-CN" w:bidi="ar"/>
              </w:rPr>
              <w:t>小计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14437.91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4459.2</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-3-1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4329.61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21"/>
                <w:szCs w:val="21"/>
                <w:highlight w:val="none"/>
                <w:u w:val="none"/>
                <w:lang w:val="en-US" w:eastAsia="zh-CN" w:bidi="ar-SA"/>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6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2898.15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528" w:type="pct"/>
            <w:gridSpan w:val="5"/>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小计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kern w:val="0"/>
                <w:sz w:val="21"/>
                <w:szCs w:val="21"/>
                <w:u w:val="none"/>
                <w:lang w:val="en-US" w:bidi="ar"/>
              </w:rPr>
            </w:pPr>
            <w:r>
              <w:rPr>
                <w:rFonts w:hint="eastAsia" w:ascii="宋体" w:hAnsi="宋体" w:eastAsia="宋体" w:cs="宋体"/>
                <w:b w:val="0"/>
                <w:bCs/>
                <w:i w:val="0"/>
                <w:iCs w:val="0"/>
                <w:color w:val="000000"/>
                <w:kern w:val="0"/>
                <w:sz w:val="21"/>
                <w:szCs w:val="21"/>
                <w:u w:val="none"/>
                <w:lang w:val="en-US" w:eastAsia="zh-CN" w:bidi="ar"/>
              </w:rPr>
              <w:t>11686.96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528" w:type="pct"/>
            <w:gridSpan w:val="5"/>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合计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26124.87</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w:t>
            </w:r>
          </w:p>
        </w:tc>
      </w:tr>
    </w:tbl>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备注：</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上述标的资产我方通过司法程序以物抵债取得，已获得生效裁定书确定为所有权人。我方取得该资产时，未接收到任何关于竣工验收及消防验收的手续与资料，未办理产权初始登记，本公司亦未取得不动产权证书。本公司不承担为上述标的资产办理产权登记/过户的义务，由受让方在条件成熟时自行负责办理全部手续，本公司仅提供必要的配合与协助。</w:t>
      </w:r>
    </w:p>
    <w:p>
      <w:pPr>
        <w:spacing w:line="360" w:lineRule="auto"/>
        <w:ind w:firstLine="480"/>
        <w:rPr>
          <w:rFonts w:hint="eastAsia"/>
          <w:lang w:val="en-US" w:eastAsia="zh-CN"/>
        </w:rPr>
      </w:pPr>
      <w:r>
        <w:rPr>
          <w:rFonts w:hint="eastAsia" w:asciiTheme="minorEastAsia" w:hAnsiTheme="minorEastAsia" w:eastAsiaTheme="minorEastAsia" w:cstheme="minorEastAsia"/>
          <w:sz w:val="22"/>
          <w:szCs w:val="22"/>
          <w:lang w:val="en-US" w:eastAsia="zh-CN"/>
        </w:rPr>
        <w:t>2.上述标的资产按司法裁定确认的权利现状及物理现状进行转让，不承担房屋质量的瑕疵担保和办理产权过户的义务，本次交易秉持“现状交付、风险自担”原则。</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2"/>
          <w:szCs w:val="22"/>
          <w:lang w:val="en-US" w:eastAsia="zh-CN"/>
        </w:rPr>
        <w:t>3.</w:t>
      </w:r>
      <w:r>
        <w:rPr>
          <w:rFonts w:hint="eastAsia" w:ascii="宋体" w:hAnsi="宋体" w:eastAsia="宋体" w:cs="宋体"/>
          <w:i w:val="0"/>
          <w:iCs w:val="0"/>
          <w:caps w:val="0"/>
          <w:color w:val="000000"/>
          <w:spacing w:val="0"/>
          <w:sz w:val="21"/>
          <w:szCs w:val="21"/>
          <w:shd w:val="clear" w:fill="FFFFFF"/>
          <w:vertAlign w:val="baseline"/>
          <w:lang w:val="en-US" w:eastAsia="zh-CN"/>
        </w:rPr>
        <w:t>以上内容由本公司拥有最终解释权。</w:t>
      </w:r>
    </w:p>
    <w:p>
      <w:pPr>
        <w:keepNext w:val="0"/>
        <w:keepLines w:val="0"/>
        <w:pageBreakBefore w:val="0"/>
        <w:widowControl/>
        <w:kinsoku/>
        <w:wordWrap/>
        <w:overflowPunct/>
        <w:topLinePunct w:val="0"/>
        <w:autoSpaceDE/>
        <w:autoSpaceDN/>
        <w:bidi w:val="0"/>
        <w:adjustRightInd/>
        <w:snapToGrid/>
        <w:spacing w:line="360" w:lineRule="auto"/>
        <w:ind w:firstLine="48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Cs w:val="0"/>
          <w:kern w:val="2"/>
          <w:sz w:val="24"/>
          <w:szCs w:val="24"/>
          <w:u w:val="none"/>
          <w:lang w:val="en-US" w:eastAsia="zh-CN"/>
        </w:rPr>
        <w:t>（三）标的资产租赁情况：</w:t>
      </w:r>
      <w:r>
        <w:rPr>
          <w:rFonts w:hint="eastAsia" w:asciiTheme="minorEastAsia" w:hAnsiTheme="minorEastAsia" w:eastAsiaTheme="minorEastAsia" w:cstheme="minorEastAsia"/>
          <w:sz w:val="24"/>
          <w:szCs w:val="24"/>
          <w:lang w:val="en-US" w:eastAsia="zh-CN"/>
        </w:rPr>
        <w:t>本次转让系“带租转让”，竞买人须全面承接租赁合同项下全部权利与义务。具体租赁情况详见下表：</w:t>
      </w:r>
    </w:p>
    <w:tbl>
      <w:tblPr>
        <w:tblStyle w:val="8"/>
        <w:tblpPr w:leftFromText="180" w:rightFromText="180" w:vertAnchor="text" w:horzAnchor="page" w:tblpX="304" w:tblpY="191"/>
        <w:tblOverlap w:val="never"/>
        <w:tblW w:w="11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5"/>
        <w:gridCol w:w="1218"/>
        <w:gridCol w:w="1130"/>
        <w:gridCol w:w="1103"/>
        <w:gridCol w:w="1066"/>
        <w:gridCol w:w="2001"/>
        <w:gridCol w:w="1900"/>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出租房号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出租面积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月租金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（元/㎡）</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支付方式</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押金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(元）</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租金递增比例</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租赁期限</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免租期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5幢1-1</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2,350.55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按季支付</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11,752.75 </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每两年递增3%</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2026年3月10日至2031年3月9日</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2026年3月10日至2026年6月9日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5幢-1-1</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2,971.60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按季支付</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29,716.00 </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每两年递增3%</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2026年3月10日至2031年3月9日</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2026年3月10日至2026年6月9日</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备注：</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若竞买人为标的资产承租人，标的资产转让价款全部支付完毕之日起，竞买人不再按租赁合同向我方支付租金，租赁合同自动解除。我方向竞买人退还租赁押金以及退还标的资产转让价款全部支付完毕之日后我方已收取的租金（如有）。</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若竞拍人非标的资产承租人，本次转让系带租约转让，本次资产转让不影响租赁合同的继续履行，竞买人依法承继原租赁合同，如需解除标的资产上的租赁关系，竞买人自行与承租人协商，标的资产转让价款全部支付完毕之日起租金由竞买人收取，我方向竞买人交割已收取的租赁押金。</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二、竞买人条件</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1.竞买人为具有完全民事行为能力和支付能力的法人、组织或自然人，具备良好的财务状况、支付能力及商业信誉，资金来源合法，可支付资产转让价款并能承担购买资产所带来的风险</w:t>
      </w:r>
      <w:r>
        <w:rPr>
          <w:rFonts w:hint="eastAsia" w:asciiTheme="minorEastAsia" w:hAnsiTheme="minorEastAsia" w:eastAsiaTheme="minorEastAsia" w:cstheme="minorEastAsia"/>
          <w:b/>
          <w:bCs/>
          <w:sz w:val="24"/>
          <w:szCs w:val="24"/>
          <w:lang w:val="en-US" w:eastAsia="zh-CN"/>
        </w:rPr>
        <w:t>（标的资产为现状转让，我方对标的资产不作任何预期收益承诺及瑕疵担保，竞买人自行对标的资产进行独立尽调及风险判断</w:t>
      </w:r>
      <w:r>
        <w:rPr>
          <w:rFonts w:hint="eastAsia" w:asciiTheme="minorEastAsia" w:hAnsiTheme="minorEastAsia" w:eastAsiaTheme="minorEastAsia" w:cstheme="minorEastAsia"/>
          <w:sz w:val="24"/>
          <w:szCs w:val="24"/>
          <w:lang w:val="en-US" w:eastAsia="zh-CN"/>
        </w:rPr>
        <w:t>），且符合有关法律、行政法规或司法解释对竞买人资格或条件的相关规定。</w:t>
      </w:r>
      <w:r>
        <w:rPr>
          <w:rFonts w:hint="eastAsia" w:asciiTheme="minorEastAsia" w:hAnsiTheme="minorEastAsia" w:eastAsiaTheme="minorEastAsia" w:cstheme="minorEastAsia"/>
          <w:b/>
          <w:bCs/>
          <w:sz w:val="24"/>
          <w:szCs w:val="24"/>
          <w:lang w:val="en-US" w:eastAsia="zh-CN"/>
        </w:rPr>
        <w:t>以下人员不得参与竞买：</w:t>
      </w:r>
      <w:r>
        <w:rPr>
          <w:rFonts w:hint="eastAsia" w:asciiTheme="minorEastAsia" w:hAnsiTheme="minorEastAsia" w:eastAsiaTheme="minorEastAsia" w:cstheme="minorEastAsia"/>
          <w:b w:val="0"/>
          <w:bCs w:val="0"/>
          <w:sz w:val="24"/>
          <w:szCs w:val="24"/>
          <w:lang w:val="en-US" w:eastAsia="zh-CN"/>
        </w:rPr>
        <w:t>国家公务员、金融资产管理公司工作人员；该项资产处置工作相关中介机构所属人员；原债务人、担保人为自然人的，其本人及其直系亲属；原债务企业的控股股东、实际控制人及其控股下属公司，原担保企业及其控股下属公司，原债务企业的其他关联企业；上述主体出资成立的法人机构或特殊目的实体；国家金融监督管理总局认定的其他不宜受让的主体。</w:t>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sz w:val="24"/>
          <w:szCs w:val="24"/>
          <w:highlight w:val="none"/>
          <w:lang w:val="en-US" w:eastAsia="zh-CN"/>
        </w:rPr>
        <w:t>2.标的资产承租人在同等条件下享有优先购买权，如有其他</w:t>
      </w:r>
      <w:r>
        <w:rPr>
          <w:rFonts w:hint="eastAsia" w:asciiTheme="minorEastAsia" w:hAnsiTheme="minorEastAsia" w:eastAsiaTheme="minorEastAsia" w:cstheme="minorEastAsia"/>
          <w:sz w:val="24"/>
          <w:szCs w:val="24"/>
          <w:highlight w:val="none"/>
        </w:rPr>
        <w:t>优先购买权人</w:t>
      </w:r>
      <w:r>
        <w:rPr>
          <w:rFonts w:hint="eastAsia" w:asciiTheme="minorEastAsia" w:hAnsiTheme="minorEastAsia" w:eastAsiaTheme="minorEastAsia" w:cstheme="minorEastAsia"/>
          <w:sz w:val="24"/>
          <w:szCs w:val="24"/>
          <w:highlight w:val="none"/>
          <w:lang w:val="en-US" w:eastAsia="zh-CN"/>
        </w:rPr>
        <w:t>资格</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val="en-US" w:eastAsia="zh-CN"/>
        </w:rPr>
        <w:t>请</w:t>
      </w:r>
      <w:r>
        <w:rPr>
          <w:rFonts w:hint="eastAsia" w:asciiTheme="minorEastAsia" w:hAnsiTheme="minorEastAsia" w:eastAsiaTheme="minorEastAsia" w:cstheme="minorEastAsia"/>
          <w:sz w:val="24"/>
          <w:szCs w:val="24"/>
          <w:highlight w:val="none"/>
        </w:rPr>
        <w:t>于202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时前向</w:t>
      </w:r>
      <w:r>
        <w:rPr>
          <w:rFonts w:hint="eastAsia" w:asciiTheme="minorEastAsia" w:hAnsiTheme="minorEastAsia" w:eastAsiaTheme="minorEastAsia" w:cstheme="minorEastAsia"/>
          <w:sz w:val="24"/>
          <w:szCs w:val="24"/>
          <w:highlight w:val="none"/>
          <w:lang w:val="en-US" w:eastAsia="zh-CN"/>
        </w:rPr>
        <w:t>本公司</w:t>
      </w:r>
      <w:r>
        <w:rPr>
          <w:rFonts w:hint="eastAsia" w:asciiTheme="minorEastAsia" w:hAnsiTheme="minorEastAsia" w:eastAsiaTheme="minorEastAsia" w:cstheme="minorEastAsia"/>
          <w:sz w:val="24"/>
          <w:szCs w:val="24"/>
          <w:highlight w:val="none"/>
        </w:rPr>
        <w:t>提交</w:t>
      </w:r>
      <w:r>
        <w:rPr>
          <w:rFonts w:hint="eastAsia" w:asciiTheme="minorEastAsia" w:hAnsiTheme="minorEastAsia" w:eastAsiaTheme="minorEastAsia" w:cstheme="minorEastAsia"/>
          <w:sz w:val="24"/>
          <w:szCs w:val="24"/>
          <w:highlight w:val="none"/>
          <w:lang w:val="en-US" w:eastAsia="zh-CN"/>
        </w:rPr>
        <w:t>相关资料</w:t>
      </w:r>
      <w:r>
        <w:rPr>
          <w:rFonts w:hint="eastAsia" w:asciiTheme="minorEastAsia" w:hAnsiTheme="minorEastAsia" w:eastAsiaTheme="minorEastAsia" w:cstheme="minorEastAsia"/>
          <w:sz w:val="24"/>
          <w:szCs w:val="24"/>
          <w:highlight w:val="none"/>
        </w:rPr>
        <w:t>，逾期</w:t>
      </w:r>
      <w:r>
        <w:rPr>
          <w:rFonts w:hint="eastAsia" w:asciiTheme="minorEastAsia" w:hAnsiTheme="minorEastAsia" w:eastAsia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提交的，视为放弃优先购买权。优先购买权人未参加竞价</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，亦视为放弃优先购买权。</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3.因不符合条件参加竞买的，由竞买人自行承担相应的法律责任。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4.意向竞买人一经确认报名成功即视为接受本竞买须知全部内容并受本须知约束承担相应法律责任，如竞买人竞价成功，需配合</w:t>
      </w:r>
      <w:r>
        <w:rPr>
          <w:rFonts w:hint="eastAsia" w:asciiTheme="minorEastAsia" w:hAnsiTheme="minorEastAsia" w:eastAsiaTheme="minorEastAsia" w:cstheme="minorEastAsia"/>
          <w:b/>
          <w:bCs/>
          <w:sz w:val="24"/>
          <w:szCs w:val="24"/>
          <w:highlight w:val="none"/>
          <w:lang w:val="en-US" w:eastAsia="zh-CN"/>
        </w:rPr>
        <w:t>本公司提供相关主体资料进行资格复核、合规访谈事宜（买受人为国有企业的可不开展合规访谈），且无条件</w:t>
      </w:r>
      <w:r>
        <w:rPr>
          <w:rFonts w:hint="eastAsia" w:asciiTheme="minorEastAsia" w:hAnsiTheme="minorEastAsia" w:eastAsiaTheme="minorEastAsia" w:cstheme="minorEastAsia"/>
          <w:b/>
          <w:bCs/>
          <w:sz w:val="24"/>
          <w:szCs w:val="24"/>
          <w:lang w:val="en-US" w:eastAsia="zh-CN"/>
        </w:rPr>
        <w:t>与本公司签订不违反交易条件的相关承诺书、《成交确认书》及《</w:t>
      </w:r>
      <w:r>
        <w:rPr>
          <w:rFonts w:hint="eastAsia" w:asciiTheme="minorEastAsia" w:hAnsiTheme="minorEastAsia" w:eastAsiaTheme="minorEastAsia" w:cstheme="minorEastAsia"/>
          <w:b/>
          <w:bCs/>
          <w:kern w:val="2"/>
          <w:sz w:val="24"/>
          <w:szCs w:val="24"/>
          <w:lang w:val="en-US" w:eastAsia="zh-CN" w:bidi="ar-SA"/>
        </w:rPr>
        <w:t>资产转让合同</w:t>
      </w:r>
      <w:r>
        <w:rPr>
          <w:rFonts w:hint="eastAsia" w:asciiTheme="minorEastAsia" w:hAnsiTheme="minorEastAsia" w:eastAsiaTheme="minorEastAsia" w:cstheme="minorEastAsia"/>
          <w:b/>
          <w:bCs/>
          <w:sz w:val="24"/>
          <w:szCs w:val="24"/>
          <w:lang w:val="en-US" w:eastAsia="zh-CN"/>
        </w:rPr>
        <w:t>》。《资产转让合同》样本如附件且不接受修改，双方具体权利义务依照最终签署的《资产转让合同》为准。</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三、调查须知</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竞买人应自行对</w:t>
      </w:r>
      <w:r>
        <w:rPr>
          <w:rFonts w:hint="eastAsia" w:asciiTheme="minorEastAsia" w:hAnsiTheme="minorEastAsia" w:eastAsiaTheme="minorEastAsia" w:cstheme="minorEastAsia"/>
          <w:kern w:val="2"/>
          <w:sz w:val="24"/>
          <w:szCs w:val="24"/>
          <w:highlight w:val="none"/>
          <w:lang w:val="en-US" w:eastAsia="zh-CN" w:bidi="ar-SA"/>
        </w:rPr>
        <w:t>标的资产进行独立勘探、看样、调查及审慎评估。咨询及展示看样的时间为自本公告发布之日起至2026年5月18日17时止。有意者请拨打咨询电话，或直接前往本公司现场咨询。</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四、报名与竞价保证金</w:t>
      </w:r>
    </w:p>
    <w:p>
      <w:pPr>
        <w:widowControl/>
        <w:spacing w:line="360" w:lineRule="auto"/>
        <w:ind w:right="106"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竞买人在竞买前登陆京东拍卖网报名并缴纳保证金100万元，同时根据竞买须知的联系方式联系我方提交报名资料，本公司将审查竞买人主体资格，在缴纳保证金且主体资格审查通过后视为报名成功，竞买人可参与后续竞价。</w:t>
      </w:r>
    </w:p>
    <w:p>
      <w:pPr>
        <w:widowControl/>
        <w:numPr>
          <w:ilvl w:val="0"/>
          <w:numId w:val="0"/>
        </w:numPr>
        <w:spacing w:line="360" w:lineRule="auto"/>
        <w:ind w:firstLine="480" w:firstLineChars="200"/>
        <w:jc w:val="left"/>
        <w:outlineLvl w:val="9"/>
        <w:rPr>
          <w:rFonts w:hint="eastAsia" w:asciiTheme="minorEastAsia" w:hAnsiTheme="minorEastAsia" w:eastAsiaTheme="minorEastAsia" w:cstheme="minorEastAsia"/>
          <w:kern w:val="2"/>
          <w:sz w:val="24"/>
          <w:szCs w:val="24"/>
          <w:highlight w:val="none"/>
          <w:lang w:val="en-US" w:eastAsia="zh-CN"/>
        </w:rPr>
      </w:pP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若竞买人竞价成功，保证金</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val="en-US" w:eastAsia="zh-CN"/>
        </w:rPr>
        <w:t>可冲抵</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成交价款，竞买人仅需将剩余成交价款在规定时间内划转至</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val="en-US" w:eastAsia="zh-CN"/>
        </w:rPr>
        <w:t>本公司</w:t>
      </w:r>
      <w:r>
        <w:rPr>
          <w:rStyle w:val="10"/>
          <w:rFonts w:hint="eastAsia" w:asciiTheme="minorEastAsia" w:hAnsiTheme="minorEastAsia" w:eastAsiaTheme="minorEastAsia" w:cstheme="minorEastAsia"/>
          <w:b w:val="0"/>
          <w:bCs w:val="0"/>
          <w:i w:val="0"/>
          <w:iCs w:val="0"/>
          <w:caps w:val="0"/>
          <w:color w:val="303030"/>
          <w:spacing w:val="0"/>
          <w:kern w:val="2"/>
          <w:sz w:val="24"/>
          <w:szCs w:val="24"/>
          <w:highlight w:val="none"/>
          <w:shd w:val="clear" w:fill="FFFFFF"/>
          <w:vertAlign w:val="baseline"/>
          <w:lang w:eastAsia="zh-CN"/>
        </w:rPr>
        <w:t>账户即可；</w:t>
      </w:r>
      <w:r>
        <w:rPr>
          <w:rFonts w:hint="eastAsia" w:asciiTheme="minorEastAsia" w:hAnsiTheme="minorEastAsia" w:eastAsiaTheme="minorEastAsia" w:cstheme="minorEastAsia"/>
          <w:kern w:val="2"/>
          <w:sz w:val="24"/>
          <w:szCs w:val="24"/>
          <w:highlight w:val="none"/>
          <w:lang w:val="en-US" w:eastAsia="zh-CN"/>
        </w:rPr>
        <w:t>若竞买人竞价失败，则将保证金原路无息退回至其账户。</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default"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五、竞价时间及竞价规则</w:t>
      </w:r>
    </w:p>
    <w:p>
      <w:pPr>
        <w:keepNext w:val="0"/>
        <w:keepLines w:val="0"/>
        <w:pageBreakBefore w:val="0"/>
        <w:widowControl/>
        <w:numPr>
          <w:ilvl w:val="-1"/>
          <w:numId w:val="0"/>
        </w:numP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5</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19</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时起至</w:t>
      </w:r>
      <w:r>
        <w:rPr>
          <w:rFonts w:hint="eastAsia" w:asciiTheme="minorEastAsia" w:hAnsiTheme="minorEastAsia" w:eastAsiaTheme="minorEastAsia" w:cstheme="minorEastAsia"/>
          <w:bCs w:val="0"/>
          <w:color w:val="auto"/>
          <w:kern w:val="2"/>
          <w:sz w:val="24"/>
          <w:szCs w:val="24"/>
          <w:highlight w:val="none"/>
          <w:lang w:val="en-US" w:eastAsia="zh-CN"/>
        </w:rPr>
        <w:t>2026</w:t>
      </w:r>
      <w:r>
        <w:rPr>
          <w:rFonts w:hint="eastAsia" w:asciiTheme="minorEastAsia" w:hAnsiTheme="minorEastAsia" w:eastAsiaTheme="minorEastAsia" w:cstheme="minorEastAsia"/>
          <w:bCs w:val="0"/>
          <w:color w:val="auto"/>
          <w:kern w:val="2"/>
          <w:sz w:val="24"/>
          <w:szCs w:val="24"/>
          <w:highlight w:val="none"/>
        </w:rPr>
        <w:t>年</w:t>
      </w:r>
      <w:r>
        <w:rPr>
          <w:rFonts w:hint="eastAsia" w:asciiTheme="minorEastAsia" w:hAnsiTheme="minorEastAsia" w:eastAsiaTheme="minorEastAsia" w:cstheme="minorEastAsia"/>
          <w:bCs w:val="0"/>
          <w:color w:val="auto"/>
          <w:kern w:val="2"/>
          <w:sz w:val="24"/>
          <w:szCs w:val="24"/>
          <w:highlight w:val="none"/>
          <w:lang w:val="en-US" w:eastAsia="zh-CN"/>
        </w:rPr>
        <w:t>5</w:t>
      </w:r>
      <w:r>
        <w:rPr>
          <w:rFonts w:hint="eastAsia" w:asciiTheme="minorEastAsia" w:hAnsiTheme="minorEastAsia" w:eastAsiaTheme="minorEastAsia" w:cstheme="minorEastAsia"/>
          <w:bCs w:val="0"/>
          <w:color w:val="auto"/>
          <w:kern w:val="2"/>
          <w:sz w:val="24"/>
          <w:szCs w:val="24"/>
          <w:highlight w:val="none"/>
        </w:rPr>
        <w:t>月</w:t>
      </w:r>
      <w:r>
        <w:rPr>
          <w:rFonts w:hint="eastAsia" w:asciiTheme="minorEastAsia" w:hAnsiTheme="minorEastAsia" w:eastAsiaTheme="minorEastAsia" w:cstheme="minorEastAsia"/>
          <w:bCs w:val="0"/>
          <w:color w:val="auto"/>
          <w:kern w:val="2"/>
          <w:sz w:val="24"/>
          <w:szCs w:val="24"/>
          <w:highlight w:val="none"/>
          <w:lang w:val="en-US" w:eastAsia="zh-CN"/>
        </w:rPr>
        <w:t>20</w:t>
      </w:r>
      <w:r>
        <w:rPr>
          <w:rFonts w:hint="eastAsia" w:asciiTheme="minorEastAsia" w:hAnsiTheme="minorEastAsia" w:eastAsiaTheme="minorEastAsia" w:cstheme="minorEastAsia"/>
          <w:bCs w:val="0"/>
          <w:color w:val="auto"/>
          <w:kern w:val="2"/>
          <w:sz w:val="24"/>
          <w:szCs w:val="24"/>
          <w:highlight w:val="none"/>
        </w:rPr>
        <w:t>日</w:t>
      </w:r>
      <w:r>
        <w:rPr>
          <w:rFonts w:hint="eastAsia" w:asciiTheme="minorEastAsia" w:hAnsiTheme="minorEastAsia" w:eastAsiaTheme="minorEastAsia" w:cstheme="minorEastAsia"/>
          <w:bCs w:val="0"/>
          <w:kern w:val="2"/>
          <w:sz w:val="24"/>
          <w:szCs w:val="24"/>
          <w:highlight w:val="none"/>
          <w:lang w:val="en-US" w:eastAsia="zh-CN"/>
        </w:rPr>
        <w:t>9</w:t>
      </w:r>
      <w:r>
        <w:rPr>
          <w:rFonts w:hint="eastAsia" w:asciiTheme="minorEastAsia" w:hAnsiTheme="minorEastAsia" w:eastAsiaTheme="minorEastAsia" w:cstheme="minorEastAsia"/>
          <w:bCs w:val="0"/>
          <w:color w:val="auto"/>
          <w:kern w:val="2"/>
          <w:sz w:val="24"/>
          <w:szCs w:val="24"/>
          <w:highlight w:val="none"/>
        </w:rPr>
        <w:t>时</w:t>
      </w:r>
      <w:r>
        <w:rPr>
          <w:rFonts w:hint="eastAsia" w:asciiTheme="minorEastAsia" w:hAnsiTheme="minorEastAsia" w:eastAsiaTheme="minorEastAsia" w:cstheme="minorEastAsia"/>
          <w:bCs w:val="0"/>
          <w:color w:val="auto"/>
          <w:kern w:val="2"/>
          <w:sz w:val="24"/>
          <w:szCs w:val="24"/>
          <w:highlight w:val="none"/>
          <w:lang w:val="en-US" w:eastAsia="zh-CN"/>
        </w:rPr>
        <w:t>止</w:t>
      </w:r>
      <w:r>
        <w:rPr>
          <w:rFonts w:hint="eastAsia" w:asciiTheme="minorEastAsia" w:hAnsiTheme="minorEastAsia" w:eastAsiaTheme="minorEastAsia" w:cstheme="minorEastAsia"/>
          <w:kern w:val="2"/>
          <w:sz w:val="24"/>
          <w:szCs w:val="24"/>
          <w:highlight w:val="none"/>
          <w:lang w:val="en-US" w:eastAsia="zh-CN" w:bidi="ar-SA"/>
        </w:rPr>
        <w:t>（届时正式竞价开始时间以京东拍卖网网络电子竞价系统时间为准），具体规则如下：</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（1）从起拍价开始以递增出价方式竞价，每次加价幅度为10万元。</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（2）网络竞价时间为24小时，竞价程序结束前5分钟无人出价的，最后出价即为成交价；有出价的，竞拍时间自该出价时点顺延5分钟。竞买人的出价时间以京东拍卖网系统时间为准。</w:t>
      </w:r>
    </w:p>
    <w:p>
      <w:pPr>
        <w:keepNext w:val="0"/>
        <w:keepLines w:val="0"/>
        <w:pageBreakBefore w:val="0"/>
        <w:widowControl/>
        <w:kinsoku/>
        <w:wordWrap w:val="0"/>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（3）在公告期满后，若只有一个符合条件的意向受让方竞价时，在竞价结束后按照公告程序补登公告，公告3个工作日后，如确定没有新的竞价者参加竞价才能成交，如有新的意向竞价者则视情况重新组织竞价。</w:t>
      </w:r>
    </w:p>
    <w:p>
      <w:pPr>
        <w:keepNext w:val="0"/>
        <w:keepLines w:val="0"/>
        <w:pageBreakBefore w:val="0"/>
        <w:widowControl/>
        <w:kinsoku/>
        <w:wordWrap/>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（4）保留价对外不公开，最终竞拍价高于或等于保留价方可成交，截至公告期满仍未有意向人报名成功或无人报名，则视为本次竞价失败。</w:t>
      </w:r>
    </w:p>
    <w:p>
      <w:pPr>
        <w:keepNext w:val="0"/>
        <w:keepLines w:val="0"/>
        <w:pageBreakBefore w:val="0"/>
        <w:widowControl/>
        <w:kinsoku/>
        <w:wordWrap/>
        <w:overflowPunct/>
        <w:topLinePunct w:val="0"/>
        <w:autoSpaceDE/>
        <w:autoSpaceDN/>
        <w:bidi w:val="0"/>
        <w:adjustRightInd/>
        <w:snapToGrid/>
        <w:spacing w:line="360" w:lineRule="auto"/>
        <w:ind w:right="106" w:rightChars="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（5）本次网络竞价服务费由受让方承担向京东平台支付，具体以京东公示收费标准为准。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六、签约及付款期限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线上竞拍成功后3个工作日内，竞买人（受让人本人，或者受让方的法定代表人、实际控制人或授权代理人）须凭京东拍卖网出具的《成交确认书》及身份证明材料来本公司，配合我方开展线下合规访谈（国有企业可不开展），及签订《成交确认书》及《资产转让合同》。付款方式为一次性支付，应在《资产转让合同》签订后10个工作日内将成交价款一次性缴入本公司指定账户。</w:t>
      </w:r>
    </w:p>
    <w:p>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0" w:firstLineChars="0"/>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七、资产交付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转让价款全部支付完毕之日起15个工作日内，我方与竞买人在标的资产现场完成资产交付（存在租赁关系的由竞买人继承租赁合同全部权利义务），并签署《资产现状交付确认书》，确认完成交付。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如标的资产存在租赁关系，租赁期间涉及的附属设施、装饰装修，按照资产租赁合同约定执行，或竞买人与租户另行协商，我方不承担任何责任。</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自</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资产转让合同</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签署日起至完成资产交付之日止为过渡期，资产交付后</w:t>
      </w:r>
      <w:r>
        <w:rPr>
          <w:rFonts w:hint="eastAsia" w:asciiTheme="minorEastAsia" w:hAnsiTheme="minorEastAsia" w:eastAsiaTheme="minorEastAsia" w:cstheme="minorEastAsia"/>
          <w:kern w:val="2"/>
          <w:sz w:val="24"/>
          <w:szCs w:val="24"/>
          <w:lang w:val="en-US" w:eastAsia="zh-CN" w:bidi="ar-SA"/>
        </w:rPr>
        <w:t>竞买人</w:t>
      </w:r>
      <w:r>
        <w:rPr>
          <w:rFonts w:hint="default" w:asciiTheme="minorEastAsia" w:hAnsiTheme="minorEastAsia" w:eastAsiaTheme="minorEastAsia" w:cstheme="minorEastAsia"/>
          <w:kern w:val="2"/>
          <w:sz w:val="24"/>
          <w:szCs w:val="24"/>
          <w:lang w:val="en-US" w:eastAsia="zh-CN" w:bidi="ar-SA"/>
        </w:rPr>
        <w:t>享有标的资产的占有、使用、收益、处分等权益，并对其毁损、灭失、瑕疵等承担一切风险。</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w:t>
      </w:r>
      <w:r>
        <w:rPr>
          <w:rFonts w:hint="eastAsia" w:asciiTheme="minorEastAsia" w:hAnsiTheme="minorEastAsia" w:eastAsiaTheme="minorEastAsia" w:cstheme="minorEastAsia"/>
          <w:b w:val="0"/>
          <w:bCs w:val="0"/>
          <w:kern w:val="2"/>
          <w:sz w:val="24"/>
          <w:szCs w:val="24"/>
          <w:highlight w:val="none"/>
          <w:lang w:val="en-US" w:eastAsia="zh-CN" w:bidi="ar-SA"/>
        </w:rPr>
        <w:t>资产未能办理竣工验收、消防验收，竞买人需自行对接开发商及行政主管部门等完善竣工验收、消防验收、产权办理等手续，我方仅在条件成熟时配合竞买人办理登记/过户，资产登记/过户产生的税费由竞买人和</w:t>
      </w:r>
      <w:r>
        <w:rPr>
          <w:rFonts w:hint="eastAsia" w:asciiTheme="minorEastAsia" w:hAnsiTheme="minorEastAsia" w:eastAsiaTheme="minorEastAsia" w:cstheme="minorEastAsia"/>
          <w:b w:val="0"/>
          <w:bCs w:val="0"/>
          <w:sz w:val="24"/>
          <w:szCs w:val="24"/>
          <w:highlight w:val="none"/>
          <w:lang w:val="en-US" w:eastAsia="zh-CN"/>
        </w:rPr>
        <w:t>我方</w:t>
      </w:r>
      <w:r>
        <w:rPr>
          <w:rFonts w:hint="eastAsia" w:asciiTheme="minorEastAsia" w:hAnsiTheme="minorEastAsia" w:eastAsiaTheme="minorEastAsia" w:cstheme="minorEastAsia"/>
          <w:b w:val="0"/>
          <w:bCs w:val="0"/>
          <w:kern w:val="2"/>
          <w:sz w:val="24"/>
          <w:szCs w:val="24"/>
          <w:highlight w:val="none"/>
          <w:lang w:val="en-US" w:eastAsia="zh-CN" w:bidi="ar-SA"/>
        </w:rPr>
        <w:t>依法按各自应承担义务据实缴纳。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八、违约责任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若竞买人竞价成功后，不配合我方开展资格复核、不符合资格审查条件、未配合我方开展合规访谈（国有企业可不需合规访谈）、未按时与我方签署《资产转让合同》、未按期足额支付成交价款的，我方有权将保证金作为违约金扣收，并取消其受让人资格。此时标的资产不发生转让，我方仍对标的资产拥有完整权利，有权另行处置。若另行处置价格与本次公开竞价成交价格之间存在不足，原竞买人应补足此次差额，并承担另行处置资产所产生的费用。如竞买人未按约支付转让价款的，以应付未付价款为基数按每日万分之五向我方支付违约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九、重大事项与瑕疵披露</w:t>
      </w:r>
    </w:p>
    <w:p>
      <w:pPr>
        <w:widowControl/>
        <w:pBdr>
          <w:top w:val="none" w:color="auto" w:sz="0" w:space="0"/>
          <w:left w:val="none" w:color="auto" w:sz="0" w:space="0"/>
          <w:bottom w:val="none" w:color="auto" w:sz="0" w:space="0"/>
          <w:right w:val="none" w:color="auto" w:sz="0" w:space="0"/>
        </w:pBd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就标的资产转让事宜，特向竞买人作出如下风险提示，竞买人对以下风险表示完全知晓并自愿承担由此可能发生的不利法律或其他后果：</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交易标的资产自交付之日起，竞买人即享有标的资产的占有、使用、收益、处分等权益，并对其毁损、灭失、瑕疵等承担一切风险，我方不再承担任何责任。资产交付后，如因重大安全事故最终导致我方被追责并承担相应赔偿责任的，竞买人在我方承担赔偿责任的范围内向我方支付赔偿金。</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交易标的资产为现状转让，竞买人对资产现状（包括但不限于法律瑕疵、资产质量、建筑结构、装饰装修及其归属、消防条件、水电气供通情况及使用条件、租赁情况），需自行评估相关风险，独立决策做出受让决策，我方不承担任何瑕疵担保责任。</w:t>
      </w:r>
    </w:p>
    <w:p>
      <w:pP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在项目整体未完成首次登记前，标的资产属于项目整体的组成部分，无法脱离项目整体单独办理竣工验收及首次登记，需竞买人自行与项目开发商、行政主管部门等协调解决，并承担全部费用，我方仅提供必要配合。</w:t>
      </w:r>
    </w:p>
    <w:p>
      <w:pPr>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本次标的资产转让仅以司法裁定确认的权利现状和物理现状进行转让，我方不承诺可办理产权登记/过户的义务。所有需由原开发商或行政主管部门解决的竣工验收、消防验收、资料补办、手续审批等问题，我方均不负责办理，竞买人自行协调完善，必要时我方予以配合，竞买人不得以资产存在瑕疵、无法办理产权登记、实际价值不符预期、未取得所有权登记等理由，主张解除合同或要求我方承担赔偿责任等。</w:t>
      </w:r>
    </w:p>
    <w:p>
      <w:pPr>
        <w:spacing w:line="360" w:lineRule="auto"/>
        <w:ind w:firstLine="480" w:firstLineChars="200"/>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中的地下车位可能被认定为人防工程或不计容积率的车位，从而导致竞买人无法取得产权、办理物权登记，仅能取得车位的部分使用权和收益权或导致竞买人预期权益丧失。竞买人不得以此为由向我方主张解除合同、承担赔偿责任或提出任何形式的异议等。</w:t>
      </w:r>
    </w:p>
    <w:p>
      <w:pPr>
        <w:spacing w:line="360" w:lineRule="auto"/>
        <w:ind w:firstLine="480" w:firstLineChars="200"/>
        <w:rPr>
          <w:rFonts w:hint="default"/>
          <w:lang w:val="en-US" w:eastAsia="zh-CN"/>
        </w:rPr>
      </w:pPr>
      <w:r>
        <w:rPr>
          <w:rFonts w:hint="eastAsia" w:asciiTheme="minorEastAsia" w:hAnsiTheme="minorEastAsia" w:eastAsiaTheme="minorEastAsia" w:cstheme="minorEastAsia"/>
          <w:strike w:val="0"/>
          <w:kern w:val="2"/>
          <w:sz w:val="24"/>
          <w:szCs w:val="24"/>
          <w:highlight w:val="none"/>
          <w:lang w:val="en-US" w:eastAsia="zh-CN" w:bidi="ar-SA"/>
        </w:rPr>
        <w:t>标的资产虽已依据人民法院生效裁定以物抵债至我方名下，但尚未办理产权变更登记至我方名下。故，标的资产可能存在被他人抵押、查封等权利限制。若发生前述情形，我方配合竞买人依法主张权利（包括但不限于提出执行异议、申请解除查封等），但由此产生的一切费用（包括但不限于诉讼费、律师费、保全费等）均由竞买人承担。</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标的资产尚未办理水、电、气、暖等户头，竞买人需自行向相关职能部门申请办理，并承担全部费用，我方予以必要配合。</w:t>
      </w:r>
    </w:p>
    <w:p>
      <w:pPr>
        <w:pStyle w:val="3"/>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标的资产交付后，其全部维护、维修、整改、安全等责任及费用均由竞买人承担。若因资产现状（包括未通过消防验收等）引发安全事故或行政责任，由竞买人承担全部后果，我方不承担任何责任。</w:t>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kern w:val="2"/>
          <w:sz w:val="24"/>
          <w:szCs w:val="24"/>
          <w:highlight w:val="none"/>
          <w:lang w:val="en-US" w:eastAsia="zh-CN" w:bidi="ar-SA"/>
        </w:rPr>
        <w:t>标的资产涉及占用需要腾退的，由我方、竞买人共同与占用人协商完成，我方对腾退结果不承担任何责任。竞买人不得以资产存在瑕疵为由，向我方追偿或主张分担责任。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标的资产可能存在的瑕疵或重大缺陷包括但不限于下列一项或多项，需竞买人自行了解判断：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（1）我方获得标的资产时未接收到标的资产完成竣工验收及消防验收相关资料手续，标的资产为在建工程，未办理产权初始登记；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（2）标的资产未取得不动产权证书，受让后暂无法办理产权转移登记/暂不具备办理产权登记条件；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（3）标的资产中地下车位规划性质不明，可能属于人防工程（所有权归国家，仅享有平时使用权和收益权）或不计算容积率的车位（无法办理产权登记，仅有使用权、收益权）；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（4）抵债时我方未能接收到标的资产建设规划、建设图纸、工程证照等资料；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（5）标的资产后续还需完善相关验收手续、补充相应手续，完善相关设施的情形，办理产权手续时可能存在应补缴相应税费、款项，或面临其他行政审批/政策的不确定性风险。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（6）标的资产存在部分区域无电梯、部分入户门未安装、无消防设施、地下停车场渗水、沉降缝损坏、无水电设施、存在安全隐患等情况；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（7）标的资产目前尚未办理水、电、气、暖等户头；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（8）标的资产存在部分区域被他人占用或堆放无主物/杂物等的情形待清退；</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（9）规划面积可能与实测面积存在误差。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（10）其他可能影响标的资产使用、交易等的重大情况及瑕疵。</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十、其他事项：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1.标的资产存在风险及瑕疵，请竞买人自行对该项目情况进行尽职调查，自行评估交易风险；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2.因本次交易产生的相关税费由买卖双方按照有关法律法规规定各自承担，其他因标的资产完善手续等需补缴的税费、款项我方均不承担，交易服务费由竞买人承担，如交易不成功，则不产生任何费用。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3.本竞价须知未尽事宜，请向本公司咨询。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咨询电话：0851-85536171</w:t>
      </w:r>
      <w:r>
        <w:rPr>
          <w:rFonts w:hint="eastAsia" w:asciiTheme="minorEastAsia" w:hAnsiTheme="minorEastAsia" w:eastAsiaTheme="minorEastAsia" w:cstheme="minorEastAsia"/>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联系地址：贵州省贵阳市南明区新华路102号富中商务大厦20楼</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lang w:val="en-US" w:eastAsia="zh-CN"/>
        </w:rPr>
        <w:t>本公司对上述内容具有最终解释权。</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中国中信金融资产管理股份有限公司贵州省分公司</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2026年5月11日</w:t>
      </w:r>
    </w:p>
    <w:p>
      <w:pPr>
        <w:keepNext w:val="0"/>
        <w:keepLines w:val="0"/>
        <w:pageBreakBefore w:val="0"/>
        <w:kinsoku/>
        <w:wordWrap/>
        <w:overflowPunct/>
        <w:topLinePunct w:val="0"/>
        <w:autoSpaceDE/>
        <w:autoSpaceDN/>
        <w:bidi w:val="0"/>
        <w:adjustRightInd/>
        <w:snapToGrid/>
        <w:spacing w:line="360" w:lineRule="auto"/>
        <w:jc w:val="righ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53D77"/>
    <w:multiLevelType w:val="singleLevel"/>
    <w:tmpl w:val="5B553D7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75E40AE0000178E" w:val=" "/>
    <w:docVar w:name="675E43E50000A741" w:val=" "/>
    <w:docVar w:name="675E4EC700002917" w:val=" "/>
    <w:docVar w:name="675E4F46000017C8" w:val=" "/>
  </w:docVars>
  <w:rsids>
    <w:rsidRoot w:val="2469618A"/>
    <w:rsid w:val="00BD24E8"/>
    <w:rsid w:val="00C24EB4"/>
    <w:rsid w:val="01BA0F9E"/>
    <w:rsid w:val="02005C3A"/>
    <w:rsid w:val="027E023A"/>
    <w:rsid w:val="02AD34F4"/>
    <w:rsid w:val="034232AC"/>
    <w:rsid w:val="035052F4"/>
    <w:rsid w:val="03B879AA"/>
    <w:rsid w:val="040604AA"/>
    <w:rsid w:val="04062D20"/>
    <w:rsid w:val="04513BA5"/>
    <w:rsid w:val="0483210E"/>
    <w:rsid w:val="056C332E"/>
    <w:rsid w:val="05864D91"/>
    <w:rsid w:val="05F824F8"/>
    <w:rsid w:val="061B4ECF"/>
    <w:rsid w:val="06565467"/>
    <w:rsid w:val="06F82B7E"/>
    <w:rsid w:val="075D4DB2"/>
    <w:rsid w:val="075D5504"/>
    <w:rsid w:val="07EC6570"/>
    <w:rsid w:val="08114AD7"/>
    <w:rsid w:val="0830171B"/>
    <w:rsid w:val="08C90093"/>
    <w:rsid w:val="08CC0E3F"/>
    <w:rsid w:val="091127B6"/>
    <w:rsid w:val="09990239"/>
    <w:rsid w:val="09CE044B"/>
    <w:rsid w:val="09ED3E15"/>
    <w:rsid w:val="0A1A23CF"/>
    <w:rsid w:val="0A693212"/>
    <w:rsid w:val="0AC642B2"/>
    <w:rsid w:val="0ACE6078"/>
    <w:rsid w:val="0BA86265"/>
    <w:rsid w:val="0BFF56C4"/>
    <w:rsid w:val="0C7B2B87"/>
    <w:rsid w:val="0CC97D0E"/>
    <w:rsid w:val="0D1B3C8D"/>
    <w:rsid w:val="0D964946"/>
    <w:rsid w:val="0DD715C4"/>
    <w:rsid w:val="0EEC778C"/>
    <w:rsid w:val="0EF9321E"/>
    <w:rsid w:val="0F663BD2"/>
    <w:rsid w:val="0F9E43D2"/>
    <w:rsid w:val="0FA7463C"/>
    <w:rsid w:val="0FC55EC0"/>
    <w:rsid w:val="0FD222E2"/>
    <w:rsid w:val="0FF92B7B"/>
    <w:rsid w:val="10B949F3"/>
    <w:rsid w:val="11501174"/>
    <w:rsid w:val="126D292A"/>
    <w:rsid w:val="12CA6834"/>
    <w:rsid w:val="132304F1"/>
    <w:rsid w:val="132936D2"/>
    <w:rsid w:val="136525C4"/>
    <w:rsid w:val="13841114"/>
    <w:rsid w:val="143E67AF"/>
    <w:rsid w:val="14B827FF"/>
    <w:rsid w:val="14F1226F"/>
    <w:rsid w:val="14F2276A"/>
    <w:rsid w:val="15335728"/>
    <w:rsid w:val="153376C4"/>
    <w:rsid w:val="15E13A87"/>
    <w:rsid w:val="163352B6"/>
    <w:rsid w:val="16345280"/>
    <w:rsid w:val="16534225"/>
    <w:rsid w:val="16813128"/>
    <w:rsid w:val="16BD376E"/>
    <w:rsid w:val="16EB2123"/>
    <w:rsid w:val="16F92BE5"/>
    <w:rsid w:val="17156DE9"/>
    <w:rsid w:val="172404D5"/>
    <w:rsid w:val="17945541"/>
    <w:rsid w:val="179E04AE"/>
    <w:rsid w:val="17AD27E8"/>
    <w:rsid w:val="181D0664"/>
    <w:rsid w:val="18486B25"/>
    <w:rsid w:val="186A0F83"/>
    <w:rsid w:val="18804424"/>
    <w:rsid w:val="18EA696C"/>
    <w:rsid w:val="19A4161E"/>
    <w:rsid w:val="1AE216D4"/>
    <w:rsid w:val="1B405037"/>
    <w:rsid w:val="1B826986"/>
    <w:rsid w:val="1BE2547F"/>
    <w:rsid w:val="1BFF06BA"/>
    <w:rsid w:val="1C233DDC"/>
    <w:rsid w:val="1C4B0278"/>
    <w:rsid w:val="1CF22D64"/>
    <w:rsid w:val="1E495B3F"/>
    <w:rsid w:val="1EAD1FE0"/>
    <w:rsid w:val="1EE76CC2"/>
    <w:rsid w:val="1FE55560"/>
    <w:rsid w:val="202C521F"/>
    <w:rsid w:val="20355535"/>
    <w:rsid w:val="204736C7"/>
    <w:rsid w:val="20CF61C0"/>
    <w:rsid w:val="21180640"/>
    <w:rsid w:val="21265575"/>
    <w:rsid w:val="21561F3F"/>
    <w:rsid w:val="217651D5"/>
    <w:rsid w:val="21A00BDB"/>
    <w:rsid w:val="21A10A20"/>
    <w:rsid w:val="21B9099F"/>
    <w:rsid w:val="221C7A1F"/>
    <w:rsid w:val="22CE62A8"/>
    <w:rsid w:val="23276419"/>
    <w:rsid w:val="23607C1F"/>
    <w:rsid w:val="236B333D"/>
    <w:rsid w:val="23DA3F63"/>
    <w:rsid w:val="24142EB3"/>
    <w:rsid w:val="241844D7"/>
    <w:rsid w:val="245C0C22"/>
    <w:rsid w:val="2469618A"/>
    <w:rsid w:val="24EA2B2E"/>
    <w:rsid w:val="24EC7BD6"/>
    <w:rsid w:val="25206EE3"/>
    <w:rsid w:val="25360A88"/>
    <w:rsid w:val="25F85E43"/>
    <w:rsid w:val="26086403"/>
    <w:rsid w:val="268E224E"/>
    <w:rsid w:val="26AE0822"/>
    <w:rsid w:val="27621DE4"/>
    <w:rsid w:val="276C2826"/>
    <w:rsid w:val="28282C28"/>
    <w:rsid w:val="28337BA1"/>
    <w:rsid w:val="284E434B"/>
    <w:rsid w:val="28A55513"/>
    <w:rsid w:val="28C97C2A"/>
    <w:rsid w:val="28EB5FB2"/>
    <w:rsid w:val="29221DCE"/>
    <w:rsid w:val="29725A34"/>
    <w:rsid w:val="29B53FCB"/>
    <w:rsid w:val="29D702D6"/>
    <w:rsid w:val="2A2E4BC0"/>
    <w:rsid w:val="2AE85674"/>
    <w:rsid w:val="2B547D0F"/>
    <w:rsid w:val="2B762528"/>
    <w:rsid w:val="2B7816DF"/>
    <w:rsid w:val="2C40426A"/>
    <w:rsid w:val="2C485D17"/>
    <w:rsid w:val="2C614AAA"/>
    <w:rsid w:val="2C852B16"/>
    <w:rsid w:val="2DB5536D"/>
    <w:rsid w:val="2DFF5C06"/>
    <w:rsid w:val="2E1227A0"/>
    <w:rsid w:val="2E2A04A1"/>
    <w:rsid w:val="2EE43549"/>
    <w:rsid w:val="2EF62F11"/>
    <w:rsid w:val="2F021F80"/>
    <w:rsid w:val="2F681287"/>
    <w:rsid w:val="2FAF42C8"/>
    <w:rsid w:val="2FB73F27"/>
    <w:rsid w:val="303632A7"/>
    <w:rsid w:val="305F23C1"/>
    <w:rsid w:val="30722ABA"/>
    <w:rsid w:val="30AA4086"/>
    <w:rsid w:val="30AF3220"/>
    <w:rsid w:val="31453464"/>
    <w:rsid w:val="31514CF8"/>
    <w:rsid w:val="31905449"/>
    <w:rsid w:val="31B43718"/>
    <w:rsid w:val="31B90C15"/>
    <w:rsid w:val="31D261B0"/>
    <w:rsid w:val="31DE235E"/>
    <w:rsid w:val="32CA44D4"/>
    <w:rsid w:val="32F04D90"/>
    <w:rsid w:val="331F7372"/>
    <w:rsid w:val="337D1B8A"/>
    <w:rsid w:val="339E3685"/>
    <w:rsid w:val="33A05B33"/>
    <w:rsid w:val="33B05ADC"/>
    <w:rsid w:val="33BA0736"/>
    <w:rsid w:val="33C032E7"/>
    <w:rsid w:val="343109DE"/>
    <w:rsid w:val="34495383"/>
    <w:rsid w:val="346C7B0F"/>
    <w:rsid w:val="3492206C"/>
    <w:rsid w:val="34E95593"/>
    <w:rsid w:val="353F74C7"/>
    <w:rsid w:val="35651F05"/>
    <w:rsid w:val="35B061A9"/>
    <w:rsid w:val="35C75F21"/>
    <w:rsid w:val="36662BB8"/>
    <w:rsid w:val="367252E0"/>
    <w:rsid w:val="367452C7"/>
    <w:rsid w:val="36F5001B"/>
    <w:rsid w:val="36F939D5"/>
    <w:rsid w:val="37621C50"/>
    <w:rsid w:val="37A21255"/>
    <w:rsid w:val="37B75F6D"/>
    <w:rsid w:val="37FF1854"/>
    <w:rsid w:val="38343158"/>
    <w:rsid w:val="38F143FA"/>
    <w:rsid w:val="397E4553"/>
    <w:rsid w:val="3A2A75FA"/>
    <w:rsid w:val="3A9A3131"/>
    <w:rsid w:val="3AF8313F"/>
    <w:rsid w:val="3AFF812B"/>
    <w:rsid w:val="3B013683"/>
    <w:rsid w:val="3C6B027F"/>
    <w:rsid w:val="3CE1449E"/>
    <w:rsid w:val="3CE54BE1"/>
    <w:rsid w:val="3D9A6384"/>
    <w:rsid w:val="3DDCBE5E"/>
    <w:rsid w:val="3E086804"/>
    <w:rsid w:val="3E9716A7"/>
    <w:rsid w:val="3FDB52D2"/>
    <w:rsid w:val="418A4C30"/>
    <w:rsid w:val="41FA6FD9"/>
    <w:rsid w:val="42FB4E6F"/>
    <w:rsid w:val="43080375"/>
    <w:rsid w:val="43372AFC"/>
    <w:rsid w:val="441E3CCD"/>
    <w:rsid w:val="44376601"/>
    <w:rsid w:val="44AF103D"/>
    <w:rsid w:val="44B62544"/>
    <w:rsid w:val="44BA6822"/>
    <w:rsid w:val="45160789"/>
    <w:rsid w:val="45471A31"/>
    <w:rsid w:val="454C4D46"/>
    <w:rsid w:val="45660943"/>
    <w:rsid w:val="45851B8D"/>
    <w:rsid w:val="45C8240F"/>
    <w:rsid w:val="46602F82"/>
    <w:rsid w:val="46A05611"/>
    <w:rsid w:val="472268C3"/>
    <w:rsid w:val="47442A67"/>
    <w:rsid w:val="48942F22"/>
    <w:rsid w:val="48B14B3E"/>
    <w:rsid w:val="493B55C1"/>
    <w:rsid w:val="49404A8B"/>
    <w:rsid w:val="49713AEB"/>
    <w:rsid w:val="49ED511C"/>
    <w:rsid w:val="4A0B180A"/>
    <w:rsid w:val="4AA07FC2"/>
    <w:rsid w:val="4B213550"/>
    <w:rsid w:val="4B2231A6"/>
    <w:rsid w:val="4B626538"/>
    <w:rsid w:val="4B7E13FD"/>
    <w:rsid w:val="4BBE0748"/>
    <w:rsid w:val="4BCD67CA"/>
    <w:rsid w:val="4CB9323B"/>
    <w:rsid w:val="4CBC1052"/>
    <w:rsid w:val="4CF54153"/>
    <w:rsid w:val="4D0F1649"/>
    <w:rsid w:val="4D3E0995"/>
    <w:rsid w:val="4D5C7673"/>
    <w:rsid w:val="4E6D4F34"/>
    <w:rsid w:val="4EAC5CCE"/>
    <w:rsid w:val="4EE67249"/>
    <w:rsid w:val="4EED294C"/>
    <w:rsid w:val="4F095275"/>
    <w:rsid w:val="5036111C"/>
    <w:rsid w:val="50617F48"/>
    <w:rsid w:val="5070372F"/>
    <w:rsid w:val="50CE5401"/>
    <w:rsid w:val="50DD60E0"/>
    <w:rsid w:val="50EE1C6C"/>
    <w:rsid w:val="510F0961"/>
    <w:rsid w:val="51432FA4"/>
    <w:rsid w:val="514871B5"/>
    <w:rsid w:val="520364C3"/>
    <w:rsid w:val="521F6B94"/>
    <w:rsid w:val="52784CC0"/>
    <w:rsid w:val="532C3C70"/>
    <w:rsid w:val="534B00B8"/>
    <w:rsid w:val="5354418A"/>
    <w:rsid w:val="535B2BF8"/>
    <w:rsid w:val="53AD63D0"/>
    <w:rsid w:val="53BD50CF"/>
    <w:rsid w:val="546F1861"/>
    <w:rsid w:val="550C521B"/>
    <w:rsid w:val="5655298F"/>
    <w:rsid w:val="569E59BC"/>
    <w:rsid w:val="57540152"/>
    <w:rsid w:val="57F4659C"/>
    <w:rsid w:val="581E561D"/>
    <w:rsid w:val="583529AA"/>
    <w:rsid w:val="58823EE1"/>
    <w:rsid w:val="58FC4D68"/>
    <w:rsid w:val="594268E4"/>
    <w:rsid w:val="5953664D"/>
    <w:rsid w:val="5A1D0672"/>
    <w:rsid w:val="5A844A06"/>
    <w:rsid w:val="5B09719D"/>
    <w:rsid w:val="5B273683"/>
    <w:rsid w:val="5B481C5C"/>
    <w:rsid w:val="5B807F61"/>
    <w:rsid w:val="5B8F0CFA"/>
    <w:rsid w:val="5C261CB2"/>
    <w:rsid w:val="5CA74A5F"/>
    <w:rsid w:val="5CA9022C"/>
    <w:rsid w:val="5CF94596"/>
    <w:rsid w:val="5D26079C"/>
    <w:rsid w:val="5D5F4BFF"/>
    <w:rsid w:val="5D7C003F"/>
    <w:rsid w:val="5DEE3E0B"/>
    <w:rsid w:val="5E0E5768"/>
    <w:rsid w:val="5E430FDF"/>
    <w:rsid w:val="5E4609A3"/>
    <w:rsid w:val="5ECE67F4"/>
    <w:rsid w:val="5ED86786"/>
    <w:rsid w:val="5EFC7359"/>
    <w:rsid w:val="5FD845DF"/>
    <w:rsid w:val="5FFA2136"/>
    <w:rsid w:val="60D96770"/>
    <w:rsid w:val="60E15A18"/>
    <w:rsid w:val="60F775E2"/>
    <w:rsid w:val="614B75D9"/>
    <w:rsid w:val="61727DDF"/>
    <w:rsid w:val="626C5C93"/>
    <w:rsid w:val="627D07A9"/>
    <w:rsid w:val="627D22EE"/>
    <w:rsid w:val="62A30719"/>
    <w:rsid w:val="62BA4707"/>
    <w:rsid w:val="62CF587A"/>
    <w:rsid w:val="62E919AE"/>
    <w:rsid w:val="6313640F"/>
    <w:rsid w:val="63574CF4"/>
    <w:rsid w:val="63B014A3"/>
    <w:rsid w:val="64454906"/>
    <w:rsid w:val="64C93CF3"/>
    <w:rsid w:val="651E3296"/>
    <w:rsid w:val="6575380C"/>
    <w:rsid w:val="6651338A"/>
    <w:rsid w:val="66765777"/>
    <w:rsid w:val="669C3468"/>
    <w:rsid w:val="66E747E1"/>
    <w:rsid w:val="67267FE7"/>
    <w:rsid w:val="67D261C0"/>
    <w:rsid w:val="681C64EC"/>
    <w:rsid w:val="683842DD"/>
    <w:rsid w:val="692153F1"/>
    <w:rsid w:val="6965160A"/>
    <w:rsid w:val="697101DD"/>
    <w:rsid w:val="69772DBB"/>
    <w:rsid w:val="69CF5284"/>
    <w:rsid w:val="6A613793"/>
    <w:rsid w:val="6A6B3F7E"/>
    <w:rsid w:val="6B224544"/>
    <w:rsid w:val="6B3817BD"/>
    <w:rsid w:val="6B8E373F"/>
    <w:rsid w:val="6C131BFF"/>
    <w:rsid w:val="6C8426A4"/>
    <w:rsid w:val="6CA95923"/>
    <w:rsid w:val="6CAE0845"/>
    <w:rsid w:val="6CE131E7"/>
    <w:rsid w:val="6CFA5D2D"/>
    <w:rsid w:val="6D4947B3"/>
    <w:rsid w:val="6DB6241E"/>
    <w:rsid w:val="6DC56B40"/>
    <w:rsid w:val="6E82B644"/>
    <w:rsid w:val="6E844081"/>
    <w:rsid w:val="6E925508"/>
    <w:rsid w:val="6F551ED5"/>
    <w:rsid w:val="6F9F1C93"/>
    <w:rsid w:val="6FB940CF"/>
    <w:rsid w:val="6FC96F80"/>
    <w:rsid w:val="70064452"/>
    <w:rsid w:val="706109F2"/>
    <w:rsid w:val="70F75F75"/>
    <w:rsid w:val="712D1844"/>
    <w:rsid w:val="716F743A"/>
    <w:rsid w:val="71AF2E0F"/>
    <w:rsid w:val="71C04ED3"/>
    <w:rsid w:val="726A26C9"/>
    <w:rsid w:val="730D4DF9"/>
    <w:rsid w:val="73196D70"/>
    <w:rsid w:val="74B34865"/>
    <w:rsid w:val="74DD0A3D"/>
    <w:rsid w:val="75B34043"/>
    <w:rsid w:val="76085A97"/>
    <w:rsid w:val="765C023B"/>
    <w:rsid w:val="776120CF"/>
    <w:rsid w:val="77E55B44"/>
    <w:rsid w:val="77ED168D"/>
    <w:rsid w:val="7895285A"/>
    <w:rsid w:val="78961A87"/>
    <w:rsid w:val="78F22B64"/>
    <w:rsid w:val="790A18DD"/>
    <w:rsid w:val="790C00A9"/>
    <w:rsid w:val="79BB26A0"/>
    <w:rsid w:val="79BB4A01"/>
    <w:rsid w:val="79E35A99"/>
    <w:rsid w:val="7B0D7E64"/>
    <w:rsid w:val="7BC3066C"/>
    <w:rsid w:val="7C3F065E"/>
    <w:rsid w:val="7C49315D"/>
    <w:rsid w:val="7D156B6A"/>
    <w:rsid w:val="7D7A494A"/>
    <w:rsid w:val="7E6A4379"/>
    <w:rsid w:val="7E6C21BD"/>
    <w:rsid w:val="7E7E6C0F"/>
    <w:rsid w:val="7E990E72"/>
    <w:rsid w:val="7EAC02FC"/>
    <w:rsid w:val="7EB34EED"/>
    <w:rsid w:val="7EEA35CE"/>
    <w:rsid w:val="7F13AC7D"/>
    <w:rsid w:val="7F2426F1"/>
    <w:rsid w:val="7F5C10FC"/>
    <w:rsid w:val="7F6451DB"/>
    <w:rsid w:val="7FAC4269"/>
    <w:rsid w:val="7FDE786F"/>
    <w:rsid w:val="7FDF964C"/>
    <w:rsid w:val="7FEFA0C3"/>
    <w:rsid w:val="8787EF12"/>
    <w:rsid w:val="9F7D7BC8"/>
    <w:rsid w:val="BE6AB2E0"/>
    <w:rsid w:val="E6FF402A"/>
    <w:rsid w:val="ECDC1040"/>
    <w:rsid w:val="F0FC3AAF"/>
    <w:rsid w:val="F762E26B"/>
    <w:rsid w:val="F7DBDD58"/>
    <w:rsid w:val="FDCF6623"/>
    <w:rsid w:val="FFFF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3">
    <w:name w:val="Normal Indent"/>
    <w:basedOn w:val="1"/>
    <w:next w:val="1"/>
    <w:unhideWhenUsed/>
    <w:qFormat/>
    <w:uiPriority w:val="99"/>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Times" w:hAnsi="Times" w:cs="Times New Roman"/>
      <w:kern w:val="0"/>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3501</Words>
  <Characters>3602</Characters>
  <Lines>0</Lines>
  <Paragraphs>0</Paragraphs>
  <TotalTime>19</TotalTime>
  <ScaleCrop>false</ScaleCrop>
  <LinksUpToDate>false</LinksUpToDate>
  <CharactersWithSpaces>3658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2024-02-01T04:29:00Z</dcterms:created>
  <dc:creator>方辰</dc:creator>
  <cp:lastModifiedBy>郑钦文</cp:lastModifiedBy>
  <cp:lastPrinted>2025-01-11T18:09:00Z</cp:lastPrinted>
  <dcterms:modified xsi:type="dcterms:W3CDTF">2026-05-11T00:43:14Z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84F9EF9B00AD4934AA2617AC92089EEB_13</vt:lpwstr>
  </property>
  <property fmtid="{D5CDD505-2E9C-101B-9397-08002B2CF9AE}" pid="4" name="KSOTemplateDocerSaveRecord">
    <vt:lpwstr>eyJoZGlkIjoiNGUxZDhkYWUxODhhMzMzNzFlMTAzZDk1NmY2ZDc5NDciLCJ1c2VySWQiOiI5MTQ2OTA3NjkifQ==</vt:lpwstr>
  </property>
</Properties>
</file>