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bCs/>
          <w:color w:val="000000"/>
          <w:sz w:val="36"/>
          <w:szCs w:val="36"/>
          <w:lang w:val="en-US" w:eastAsia="zh-CN"/>
        </w:rPr>
      </w:pPr>
      <w:r>
        <w:rPr>
          <w:rFonts w:hint="eastAsia"/>
          <w:b/>
          <w:bCs/>
          <w:color w:val="000000"/>
          <w:sz w:val="36"/>
          <w:szCs w:val="36"/>
          <w:lang w:val="en-US" w:eastAsia="zh-CN"/>
        </w:rPr>
        <w:t xml:space="preserve">  </w:t>
      </w:r>
    </w:p>
    <w:p>
      <w:pPr>
        <w:jc w:val="center"/>
        <w:rPr>
          <w:b/>
          <w:bCs/>
          <w:color w:val="000000"/>
          <w:sz w:val="36"/>
          <w:szCs w:val="36"/>
        </w:rPr>
      </w:pPr>
      <w:r>
        <w:rPr>
          <w:rFonts w:hint="eastAsia"/>
          <w:b/>
          <w:bCs/>
          <w:color w:val="000000"/>
          <w:sz w:val="36"/>
          <w:szCs w:val="36"/>
        </w:rPr>
        <w:t>竞买须知</w:t>
      </w:r>
    </w:p>
    <w:p>
      <w:pPr>
        <w:rPr>
          <w:rFonts w:ascii="仿宋_GB2312" w:hAnsi="仿宋_GB2312" w:eastAsia="仿宋_GB2312" w:cs="仿宋_GB2312"/>
          <w:bCs/>
          <w:color w:val="000000"/>
          <w:sz w:val="32"/>
          <w:szCs w:val="32"/>
        </w:rPr>
      </w:pP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一、竞价标的：浙江万盛铜业有限公司等5户债权。</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竞买起始价：</w:t>
      </w:r>
      <w:r>
        <w:rPr>
          <w:rFonts w:hint="eastAsia" w:ascii="仿宋_GB2312" w:hAnsi="仿宋_GB2312" w:eastAsia="仿宋_GB2312" w:cs="仿宋_GB2312"/>
          <w:bCs/>
          <w:color w:val="000000"/>
          <w:sz w:val="32"/>
          <w:szCs w:val="32"/>
          <w:lang w:val="en-US" w:eastAsia="zh-CN"/>
        </w:rPr>
        <w:t>30</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300</w:t>
      </w:r>
      <w:r>
        <w:rPr>
          <w:rFonts w:hint="eastAsia" w:ascii="仿宋_GB2312" w:hAnsi="仿宋_GB2312" w:eastAsia="仿宋_GB2312" w:cs="仿宋_GB2312"/>
          <w:bCs/>
          <w:color w:val="000000"/>
          <w:sz w:val="32"/>
          <w:szCs w:val="32"/>
        </w:rPr>
        <w:t>.00万元；保证金：</w:t>
      </w:r>
      <w:r>
        <w:rPr>
          <w:rFonts w:ascii="仿宋_GB2312" w:hAnsi="仿宋_GB2312" w:eastAsia="仿宋_GB2312" w:cs="仿宋_GB2312"/>
          <w:bCs/>
          <w:color w:val="000000"/>
          <w:sz w:val="32"/>
          <w:szCs w:val="32"/>
        </w:rPr>
        <w:t>5</w:t>
      </w:r>
      <w:r>
        <w:rPr>
          <w:rFonts w:hint="eastAsia" w:ascii="仿宋_GB2312" w:hAnsi="仿宋_GB2312" w:eastAsia="仿宋_GB2312" w:cs="仿宋_GB2312"/>
          <w:bCs/>
          <w:color w:val="000000"/>
          <w:sz w:val="32"/>
          <w:szCs w:val="32"/>
        </w:rPr>
        <w:t>00万元。</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二、竞买人条件</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买人须在竞价开始前至少24小时进行网上报名，报名时需提交签字/盖章确认的《竞买人承诺书》、《授权委托书》（如有需要）等材料，经中国中信金融资产管理股份有限公司浙江省分公司(以下简称我司)进行材料完备性审核后方可参与竞买。</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买人应为具有完全民事行为能力、支付能力的法人、组织或自然人，且以下人员不得购买：国家公务员、金融监管机构工作人员、政法干警、金融资产管理公司工作人员、原债务人管理层以及参与资产处置工作的律师、会计师、评估师等中介机构等关联人，或者上述关联人参与的非金融机构法人，以及与参与不良债权转让的金融资产管理公司工作人员、原债务人或者受托资产评估机构负责人员等有直系亲属关系的人员。资产原债务人及关联企业等利益相关方不得参与资产的折价购买。因不符合条件参加竞买的，由竞买人自行承担相应的法律责任。</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竞买人须积极配合我司开展反洗钱工作，包括但不限于如实提供竞买人及其受益所有人身份信息及其变更情况等。</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买人可委托他人（具备完全民事行为能力的自然人）参与竞买，但需在竞价开始之前将有效的授权委托书寄出（邮寄地址：杭州市上城区开元路19-1、19-2号，刘经理收0571-87836723），授权委托书须同时随报名材料在线上一并提交。竞买成交后：委托人为单位的，受托人需携带该企业的法人营业执照（原件或复印件加公证书）、法定代表人身份证明书、法定代表人身份证原件或复印件、授权委托书、受托人身份证原件到我司办理交接手续；</w:t>
      </w:r>
      <w:r>
        <w:rPr>
          <w:rFonts w:hint="eastAsia" w:ascii="仿宋_GB2312" w:eastAsia="仿宋_GB2312"/>
          <w:sz w:val="32"/>
        </w:rPr>
        <w:t>竞买人为个人的，须提供个人身份证原件，如委托其他个人参加竞价的，</w:t>
      </w:r>
      <w:r>
        <w:rPr>
          <w:rFonts w:hint="eastAsia" w:ascii="仿宋_GB2312" w:hAnsi="仿宋_GB2312" w:eastAsia="仿宋_GB2312" w:cs="仿宋_GB2312"/>
          <w:bCs/>
          <w:color w:val="000000"/>
          <w:sz w:val="32"/>
          <w:szCs w:val="32"/>
        </w:rPr>
        <w:t>须携带委托人身份证原件、授权委托书（如委托人本人无法前往我司办理交接手续的，提供的授权委托书须经公证处进行公证）、受托人身份证原件与受托人一同到我司办理交接手续</w:t>
      </w:r>
      <w:r>
        <w:rPr>
          <w:rFonts w:hint="eastAsia" w:ascii="仿宋_GB2312" w:eastAsia="仿宋_GB2312"/>
          <w:sz w:val="32"/>
        </w:rPr>
        <w:t>。</w:t>
      </w:r>
      <w:r>
        <w:rPr>
          <w:rFonts w:hint="eastAsia" w:ascii="仿宋_GB2312" w:hAnsi="仿宋_GB2312" w:eastAsia="仿宋_GB2312" w:cs="仿宋_GB2312"/>
          <w:bCs/>
          <w:color w:val="000000"/>
          <w:sz w:val="32"/>
          <w:szCs w:val="32"/>
        </w:rPr>
        <w:t>如无委托手续或委托手续不全的，竞买活动将被认定为参与竞买活动方的本人行为。</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司收取竞买人报名材料仅为登记使用。如竞买人不符合条件参加竞买并成为买受人的，由竞买人自行承担相应法律责任。我司有权没收买受人的保证金并重新处置。凡先前参与本公司组织的任何资产竞价活动且竞价成交但违约（指前次交易最终无法实现的）的个人或机构，我司有权要求其不得以任何形式参与本次竞价。</w:t>
      </w:r>
    </w:p>
    <w:p>
      <w:pPr>
        <w:ind w:firstLine="640" w:firstLineChars="20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三、禹洲酒店一户特别说明</w:t>
      </w:r>
    </w:p>
    <w:p>
      <w:pPr>
        <w:ind w:firstLine="640" w:firstLineChars="20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厦门禹洲酒店投资管理有限公司、上海煦腾房地产开发有限公司、舜鸿地产(成都)有限公司一户</w:t>
      </w:r>
      <w:r>
        <w:rPr>
          <w:rFonts w:hint="eastAsia" w:ascii="仿宋_GB2312" w:hAnsi="仿宋_GB2312" w:eastAsia="仿宋_GB2312" w:cs="仿宋_GB2312"/>
          <w:bCs/>
          <w:color w:val="000000"/>
          <w:sz w:val="32"/>
          <w:szCs w:val="32"/>
          <w:lang w:val="en-US" w:eastAsia="zh-CN"/>
        </w:rPr>
        <w:t>债权（即禹洲酒店项目）对应债权收益权已交付“建信信托-彩虹1号财产权信托计划”（以下简称“信托计划”）作为信托财产，对应持有信托计划优先级A2份额，信托计划财产另有绍兴禹鸿房地产开发有限公司（以下简称“绍兴禹鸿”）100%股权、禹洲债券项目债权收益权（对应信托计划优先级A1份额）。竞价成交、付清债权转让价款、签署相关协议后30日内，债权人配合办理财产权信托受益人合法财产变更手续。该户债权具体事宜竞买人可自行向我司了解。</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四</w:t>
      </w:r>
      <w:r>
        <w:rPr>
          <w:rFonts w:hint="eastAsia" w:ascii="仿宋_GB2312" w:hAnsi="仿宋_GB2312" w:eastAsia="仿宋_GB2312" w:cs="仿宋_GB2312"/>
          <w:bCs/>
          <w:color w:val="000000"/>
          <w:sz w:val="32"/>
          <w:szCs w:val="32"/>
        </w:rPr>
        <w:t>、网络竞价方式</w:t>
      </w:r>
    </w:p>
    <w:p>
      <w:pPr>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本次竞价设起拍价及保留价，</w:t>
      </w:r>
      <w:r>
        <w:rPr>
          <w:rFonts w:hint="eastAsia" w:ascii="仿宋_GB2312" w:hAnsi="仿宋_GB2312" w:eastAsia="仿宋_GB2312" w:cs="仿宋_GB2312"/>
          <w:sz w:val="32"/>
          <w:szCs w:val="32"/>
          <w:highlight w:val="none"/>
        </w:rPr>
        <w:t>竞买人缴纳保证金后方可查看起拍价，保留价不对外公开</w:t>
      </w:r>
      <w:r>
        <w:rPr>
          <w:rFonts w:hint="eastAsia" w:ascii="仿宋_GB2312" w:hAnsi="仿宋_GB2312" w:eastAsia="仿宋_GB2312" w:cs="仿宋_GB2312"/>
          <w:sz w:val="32"/>
          <w:szCs w:val="32"/>
          <w:highlight w:val="none"/>
          <w:lang w:eastAsia="zh-CN"/>
        </w:rPr>
        <w:t>，本次竞价至少须一人报名并缴纳相应竞买保证金后方可进入竞价程序。</w:t>
      </w:r>
      <w:r>
        <w:rPr>
          <w:rFonts w:hint="eastAsia" w:ascii="仿宋_GB2312" w:hAnsi="仿宋_GB2312" w:eastAsia="仿宋_GB2312" w:cs="仿宋_GB2312"/>
          <w:sz w:val="32"/>
          <w:szCs w:val="32"/>
          <w:highlight w:val="none"/>
        </w:rPr>
        <w:t>竞买人查阅起拍价，在竞价开始后，在竞价系统提交竞买价、基础收益率、信托计划分配比例三个要素，作一次性报价；根据评分标准，综合评分最高者中标；单次竞价时长1小时。</w:t>
      </w:r>
    </w:p>
    <w:p>
      <w:pPr>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评分标准</w:t>
      </w:r>
    </w:p>
    <w:p>
      <w:pPr>
        <w:spacing w:line="360" w:lineRule="auto"/>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单个意向竞买人得分=竞买价得分*20%+基础收益得分*30%+信托计划分配比例得分*50%</w:t>
      </w:r>
      <w:r>
        <w:rPr>
          <w:rFonts w:hint="eastAsia" w:ascii="仿宋_GB2312" w:hAnsi="仿宋_GB2312" w:eastAsia="仿宋_GB2312" w:cs="仿宋_GB2312"/>
          <w:sz w:val="32"/>
          <w:szCs w:val="32"/>
          <w:highlight w:val="none"/>
          <w:lang w:eastAsia="zh-CN"/>
        </w:rPr>
        <w:t>。</w:t>
      </w:r>
    </w:p>
    <w:p>
      <w:pPr>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①竞买价得分：报价为保留价的，得50分，每增加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万元的，在基础分基础上加1分，</w:t>
      </w:r>
      <w:r>
        <w:rPr>
          <w:rFonts w:hint="eastAsia" w:ascii="仿宋_GB2312" w:hAnsi="仿宋_GB2312" w:eastAsia="仿宋_GB2312" w:cs="仿宋_GB2312"/>
          <w:sz w:val="32"/>
          <w:szCs w:val="32"/>
          <w:highlight w:val="none"/>
          <w:lang w:val="en-US" w:eastAsia="zh-CN"/>
        </w:rPr>
        <w:t>不足100万元的不加分</w:t>
      </w:r>
      <w:r>
        <w:rPr>
          <w:rFonts w:hint="eastAsia" w:ascii="仿宋_GB2312" w:hAnsi="仿宋_GB2312" w:eastAsia="仿宋_GB2312" w:cs="仿宋_GB2312"/>
          <w:sz w:val="32"/>
          <w:szCs w:val="32"/>
          <w:highlight w:val="none"/>
        </w:rPr>
        <w:t>；</w:t>
      </w:r>
    </w:p>
    <w:p>
      <w:pPr>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②基础收益率得分：基础收益率为8%的，得50分，每降低0.1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%的，在基础分基础上加1分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不足0.15%的不加分</w:t>
      </w:r>
      <w:r>
        <w:rPr>
          <w:rFonts w:hint="eastAsia" w:ascii="仿宋_GB2312" w:hAnsi="仿宋_GB2312" w:eastAsia="仿宋_GB2312" w:cs="仿宋_GB2312"/>
          <w:sz w:val="32"/>
          <w:szCs w:val="32"/>
          <w:highlight w:val="none"/>
        </w:rPr>
        <w:t>；</w:t>
      </w:r>
    </w:p>
    <w:p>
      <w:pPr>
        <w:spacing w:line="360" w:lineRule="auto"/>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③信托计划分配比例得分：报价为</w:t>
      </w:r>
      <w:r>
        <w:rPr>
          <w:rFonts w:hint="eastAsia" w:ascii="仿宋_GB2312" w:hAnsi="仿宋_GB2312" w:eastAsia="仿宋_GB2312" w:cs="仿宋_GB2312"/>
          <w:sz w:val="32"/>
          <w:szCs w:val="32"/>
          <w:highlight w:val="none"/>
          <w:lang w:val="en-US" w:eastAsia="zh-CN"/>
        </w:rPr>
        <w:t>债权人与买受人之间按</w:t>
      </w:r>
      <w:r>
        <w:rPr>
          <w:rFonts w:hint="eastAsia" w:ascii="仿宋_GB2312" w:hAnsi="仿宋_GB2312" w:eastAsia="仿宋_GB2312" w:cs="仿宋_GB2312"/>
          <w:sz w:val="32"/>
          <w:szCs w:val="32"/>
          <w:highlight w:val="none"/>
        </w:rPr>
        <w:t>禹洲</w:t>
      </w:r>
      <w:r>
        <w:rPr>
          <w:rFonts w:hint="eastAsia" w:ascii="仿宋_GB2312" w:hAnsi="仿宋_GB2312" w:eastAsia="仿宋_GB2312" w:cs="仿宋_GB2312"/>
          <w:sz w:val="32"/>
          <w:szCs w:val="32"/>
          <w:highlight w:val="none"/>
          <w:lang w:val="en-US" w:eastAsia="zh-CN"/>
        </w:rPr>
        <w:t>债券</w:t>
      </w:r>
      <w:r>
        <w:rPr>
          <w:rFonts w:hint="eastAsia" w:ascii="仿宋_GB2312" w:hAnsi="仿宋_GB2312" w:eastAsia="仿宋_GB2312" w:cs="仿宋_GB2312"/>
          <w:sz w:val="32"/>
          <w:szCs w:val="32"/>
          <w:highlight w:val="none"/>
        </w:rPr>
        <w:t>项目、禹洲酒店项目剩余出资余额的比例分配回现金额的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信托计划具体内容详见附件材料，以下简称“出资余额比例”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得50分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在此比例上，买受人分配比例</w:t>
      </w:r>
      <w:r>
        <w:rPr>
          <w:rFonts w:hint="eastAsia" w:ascii="仿宋_GB2312" w:hAnsi="仿宋_GB2312" w:eastAsia="仿宋_GB2312" w:cs="仿宋_GB2312"/>
          <w:sz w:val="32"/>
          <w:szCs w:val="32"/>
          <w:highlight w:val="none"/>
        </w:rPr>
        <w:t>每降低</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%的，在基础分基础上加1分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不足2%的不加分。</w:t>
      </w:r>
    </w:p>
    <w:p>
      <w:pPr>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如出现竞买价低于保留价、基础收益高于8%、信托计划分配比例高于出资余额比例任一情形的，综合得分直接为0，本次报价无效。</w:t>
      </w:r>
    </w:p>
    <w:p>
      <w:pPr>
        <w:spacing w:line="360" w:lineRule="auto"/>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特殊情形</w:t>
      </w:r>
    </w:p>
    <w:p>
      <w:pPr>
        <w:numPr>
          <w:ilvl w:val="0"/>
          <w:numId w:val="0"/>
        </w:num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若竞买人有两个及以上相等最高得分时，则启动再次竞价，竞买人针对资产包再次进行竞价，直至产生单一最高得分；如</w:t>
      </w:r>
      <w:r>
        <w:rPr>
          <w:rFonts w:hint="eastAsia" w:ascii="仿宋_GB2312" w:hAnsi="仿宋_GB2312" w:eastAsia="仿宋_GB2312" w:cs="仿宋_GB2312"/>
          <w:sz w:val="32"/>
          <w:szCs w:val="32"/>
          <w:highlight w:val="none"/>
          <w:lang w:val="en-US" w:eastAsia="zh-CN"/>
        </w:rPr>
        <w:t>有两名及以上合格投资者报名但</w:t>
      </w:r>
      <w:r>
        <w:rPr>
          <w:rFonts w:hint="eastAsia" w:ascii="仿宋_GB2312" w:hAnsi="仿宋_GB2312" w:eastAsia="仿宋_GB2312" w:cs="仿宋_GB2312"/>
          <w:sz w:val="32"/>
          <w:szCs w:val="32"/>
          <w:highlight w:val="none"/>
        </w:rPr>
        <w:t>仅有一人出具有效报价的（竞买价不低于保留价、基础收益不高于8%、信托计划分配比例不高于出资余额比例），则直接宣布</w:t>
      </w:r>
      <w:r>
        <w:rPr>
          <w:rFonts w:hint="eastAsia" w:ascii="仿宋_GB2312" w:hAnsi="仿宋_GB2312" w:eastAsia="仿宋_GB2312" w:cs="仿宋_GB2312"/>
          <w:sz w:val="32"/>
          <w:szCs w:val="32"/>
          <w:highlight w:val="none"/>
          <w:lang w:val="en-US" w:eastAsia="zh-CN"/>
        </w:rPr>
        <w:t>中标</w:t>
      </w:r>
      <w:r>
        <w:rPr>
          <w:rFonts w:hint="eastAsia" w:ascii="仿宋_GB2312" w:hAnsi="仿宋_GB2312" w:eastAsia="仿宋_GB2312" w:cs="仿宋_GB2312"/>
          <w:sz w:val="32"/>
          <w:szCs w:val="32"/>
          <w:highlight w:val="none"/>
        </w:rPr>
        <w:t>。当只有一名合格投资者报名</w:t>
      </w:r>
      <w:r>
        <w:rPr>
          <w:rFonts w:hint="eastAsia" w:ascii="仿宋_GB2312" w:hAnsi="仿宋_GB2312" w:eastAsia="仿宋_GB2312" w:cs="仿宋_GB2312"/>
          <w:sz w:val="32"/>
          <w:szCs w:val="32"/>
          <w:highlight w:val="none"/>
          <w:lang w:val="en-US" w:eastAsia="zh-CN"/>
        </w:rPr>
        <w:t>且出具有效报价的</w:t>
      </w:r>
      <w:r>
        <w:rPr>
          <w:rFonts w:hint="eastAsia" w:ascii="仿宋_GB2312" w:hAnsi="仿宋_GB2312" w:eastAsia="仿宋_GB2312" w:cs="仿宋_GB2312"/>
          <w:sz w:val="32"/>
          <w:szCs w:val="32"/>
          <w:highlight w:val="none"/>
        </w:rPr>
        <w:t>，须按照公告程序补登公告，公告3个工作日后，如确定没有新的竞价者提出申请参加竞价，则宣布成交。</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五</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委托处置交易要素</w:t>
      </w:r>
    </w:p>
    <w:p>
      <w:pPr>
        <w:numPr>
          <w:ilvl w:val="-1"/>
          <w:numId w:val="0"/>
        </w:numPr>
        <w:ind w:firstLine="616" w:firstLineChars="200"/>
        <w:jc w:val="both"/>
        <w:rPr>
          <w:rFonts w:hint="default" w:ascii="Times New Roman" w:hAnsi="Times New Roman" w:eastAsia="仿宋_GB2312" w:cs="Times New Roman"/>
          <w:b w:val="0"/>
          <w:bCs w:val="0"/>
          <w:spacing w:val="-6"/>
          <w:sz w:val="32"/>
          <w:szCs w:val="32"/>
          <w:highlight w:val="none"/>
          <w:lang w:val="en-US" w:eastAsia="zh-CN"/>
        </w:rPr>
      </w:pPr>
      <w:r>
        <w:rPr>
          <w:rFonts w:hint="eastAsia" w:ascii="Times New Roman" w:hAnsi="Times New Roman" w:eastAsia="仿宋_GB2312" w:cs="Times New Roman"/>
          <w:b w:val="0"/>
          <w:bCs w:val="0"/>
          <w:spacing w:val="-6"/>
          <w:sz w:val="32"/>
          <w:szCs w:val="32"/>
          <w:highlight w:val="none"/>
          <w:lang w:val="en-US" w:eastAsia="zh-CN"/>
        </w:rPr>
        <w:t>本次经竞价以卖断+委托处置方式进行。如中标，中标人需无条件接受我司制定的委托处置条款。具体条款内容如下：</w:t>
      </w:r>
    </w:p>
    <w:tbl>
      <w:tblPr>
        <w:tblStyle w:val="9"/>
        <w:tblW w:w="8506" w:type="dxa"/>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9"/>
        <w:gridCol w:w="6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交易要素</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委托范围</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浙江万盛铜业有限公司等5户债权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委托期限</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委托方委托中国中信金融资产管理股份有限公司江苏省分公司（以下简称“受托方”）对标的债权进行处置清收，委托期限为3年。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trPr>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委托处置权限</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bookmarkStart w:id="0" w:name="_Toc17752"/>
            <w:bookmarkStart w:id="1" w:name="_Toc215691192"/>
            <w:bookmarkStart w:id="2" w:name="_Toc183391467"/>
            <w:r>
              <w:rPr>
                <w:rFonts w:hint="eastAsia" w:ascii="宋体" w:hAnsi="宋体" w:eastAsia="宋体" w:cs="宋体"/>
                <w:i w:val="0"/>
                <w:iCs w:val="0"/>
                <w:color w:val="000000"/>
                <w:kern w:val="0"/>
                <w:sz w:val="21"/>
                <w:szCs w:val="21"/>
                <w:highlight w:val="none"/>
                <w:u w:val="none"/>
                <w:lang w:val="en-US" w:eastAsia="zh-CN" w:bidi="ar"/>
              </w:rPr>
              <w:t>1.司法清收</w:t>
            </w:r>
            <w:bookmarkEnd w:id="0"/>
            <w:bookmarkEnd w:id="1"/>
            <w:bookmarkEnd w:id="2"/>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委托方授权受托方自行决策部分司法清收的处置方案：</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①向法院申请调查债务人及保证人财产线索；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②向法院申请保全债务人及保证人名下资产；</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③委托评估、律所等中介机构事项；</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④直接追偿和诉讼、仲裁等追索行为；</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⑤向法院申请强制执行或恢复执行，提起司法评估拍卖；</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⑥发布催收公告等催收事项；</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⑦向法院申请分配案款。</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bookmarkStart w:id="3" w:name="_Toc183391468"/>
            <w:bookmarkStart w:id="4" w:name="_Toc215691193"/>
            <w:bookmarkStart w:id="5" w:name="_Toc23758"/>
            <w:r>
              <w:rPr>
                <w:rFonts w:hint="eastAsia" w:ascii="宋体" w:hAnsi="宋体" w:eastAsia="宋体" w:cs="宋体"/>
                <w:i w:val="0"/>
                <w:iCs w:val="0"/>
                <w:color w:val="000000"/>
                <w:kern w:val="0"/>
                <w:sz w:val="21"/>
                <w:szCs w:val="21"/>
                <w:highlight w:val="none"/>
                <w:u w:val="none"/>
                <w:lang w:val="en-US" w:eastAsia="zh-CN" w:bidi="ar"/>
              </w:rPr>
              <w:t>2.债权转让</w:t>
            </w:r>
            <w:bookmarkEnd w:id="3"/>
            <w:bookmarkEnd w:id="4"/>
            <w:bookmarkEnd w:id="5"/>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委托方授权受托方自行决策债权转让处置方案：</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①总体原则：在京东或淘宝平台挂牌处置，挂牌价格不低于单户最低处置价，挂牌时间不少于7个工作日，竞价保证金不低于起拍价的10%。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②委托方授权受托方处置标的债权，可单户挂牌，也可在标的债权范围内组包挂牌。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bookmarkStart w:id="6" w:name="_Toc183391469"/>
            <w:bookmarkStart w:id="7" w:name="_Toc215691194"/>
            <w:bookmarkStart w:id="8" w:name="_Toc30976"/>
            <w:r>
              <w:rPr>
                <w:rFonts w:hint="eastAsia" w:ascii="宋体" w:hAnsi="宋体" w:eastAsia="宋体" w:cs="宋体"/>
                <w:i w:val="0"/>
                <w:iCs w:val="0"/>
                <w:color w:val="000000"/>
                <w:kern w:val="0"/>
                <w:sz w:val="21"/>
                <w:szCs w:val="21"/>
                <w:highlight w:val="none"/>
                <w:u w:val="none"/>
                <w:lang w:val="en-US" w:eastAsia="zh-CN" w:bidi="ar"/>
              </w:rPr>
              <w:t>3.其他未授权事项</w:t>
            </w:r>
            <w:bookmarkEnd w:id="6"/>
            <w:bookmarkEnd w:id="7"/>
            <w:bookmarkEnd w:id="8"/>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减免利息、减免本金、抵债资产转让、债务重组、申请债务人破产、在破产程序中行使权利和发表意见、接受破产财产分配方案、同意债务企业重整计划或破产和解协议、以资抵债以及债转股等处置方式，受托方应制作处置方案，得到委托方同意后方能实施。</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bookmarkStart w:id="9" w:name="_Toc2909"/>
            <w:bookmarkStart w:id="10" w:name="_Toc183391470"/>
            <w:bookmarkStart w:id="11" w:name="_Toc215691195"/>
            <w:r>
              <w:rPr>
                <w:rFonts w:hint="eastAsia" w:ascii="宋体" w:hAnsi="宋体" w:eastAsia="宋体" w:cs="宋体"/>
                <w:i w:val="0"/>
                <w:iCs w:val="0"/>
                <w:color w:val="000000"/>
                <w:kern w:val="0"/>
                <w:sz w:val="21"/>
                <w:szCs w:val="21"/>
                <w:highlight w:val="none"/>
                <w:u w:val="none"/>
                <w:lang w:val="en-US" w:eastAsia="zh-CN" w:bidi="ar"/>
              </w:rPr>
              <w:t>4.处置情况沟通机制</w:t>
            </w:r>
            <w:bookmarkEnd w:id="9"/>
            <w:bookmarkEnd w:id="10"/>
            <w:bookmarkEnd w:id="11"/>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受托方应于每季度末及合作期限终止日后5个工作日内向委托方出具电子版以及纸质版清收处置报告（需包含处置进展及回款情况等），其中纸质版报告需加盖受托方公章。</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整体清收目标=卖断价+基础收益+清收处置费用</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每户最低处置价=单户清收目标-已回收价款+基础收益+清收处置费用</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其中：基础收益=按天∑[（单户清收目标-单户已回收价款）*基础收益率/360]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单户清收目标由</w:t>
            </w:r>
            <w:r>
              <w:rPr>
                <w:rFonts w:hint="eastAsia" w:ascii="宋体" w:hAnsi="宋体" w:cs="宋体"/>
                <w:i w:val="0"/>
                <w:iCs w:val="0"/>
                <w:color w:val="000000"/>
                <w:kern w:val="0"/>
                <w:sz w:val="21"/>
                <w:szCs w:val="21"/>
                <w:highlight w:val="none"/>
                <w:u w:val="none"/>
                <w:lang w:val="en-US" w:eastAsia="zh-CN" w:bidi="ar"/>
              </w:rPr>
              <w:t>委托方与受托方协商确定</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协商不成由受托方制定，委托方须予以接受，</w:t>
            </w:r>
            <w:r>
              <w:rPr>
                <w:rFonts w:hint="eastAsia" w:ascii="宋体" w:hAnsi="宋体" w:eastAsia="宋体" w:cs="宋体"/>
                <w:i w:val="0"/>
                <w:iCs w:val="0"/>
                <w:color w:val="000000"/>
                <w:kern w:val="0"/>
                <w:sz w:val="21"/>
                <w:szCs w:val="21"/>
                <w:highlight w:val="none"/>
                <w:u w:val="none"/>
                <w:lang w:val="en-US" w:eastAsia="zh-CN" w:bidi="ar"/>
              </w:rPr>
              <w:t>各户清收目标之和等于卖断价。</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特别说明：如受托方就标的资产收取意向保证金，暂不作为清收回款计入年度回现考核，待该债权最终处置或缴纳保证金的意向人违约后再向委托方划转（如该保证金涉及诉讼，划转金额以生效判决金额为准），该划转金额作为当年度清收回现金额计入回现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委托处置收益</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
              <w:ind w:firstLine="420" w:firstLineChars="20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1.基础收益</w:t>
            </w:r>
          </w:p>
          <w:p>
            <w:pPr>
              <w:pStyle w:val="2"/>
              <w:ind w:firstLine="420" w:firstLineChars="20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以买受人报价结果确认基础收益率（360天/年），以（单户清收目标-单户已回收价款）为基数根据实际占用天数计算，即基础收益=按天∑[(单户清收目标-单户已回收价款)*基础收益率/360]；</w:t>
            </w:r>
          </w:p>
          <w:p>
            <w:pPr>
              <w:pStyle w:val="2"/>
              <w:ind w:firstLine="420" w:firstLineChars="20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2.超额收益</w:t>
            </w:r>
          </w:p>
          <w:p>
            <w:pPr>
              <w:pStyle w:val="2"/>
              <w:ind w:firstLine="420" w:firstLineChars="200"/>
              <w:jc w:val="left"/>
              <w:rPr>
                <w:rFonts w:hint="eastAsia"/>
                <w:lang w:val="en-US" w:eastAsia="zh-CN"/>
              </w:rPr>
            </w:pPr>
            <w:r>
              <w:rPr>
                <w:rFonts w:hint="eastAsia" w:ascii="宋体" w:hAnsi="宋体" w:eastAsia="宋体" w:cs="宋体"/>
                <w:i w:val="0"/>
                <w:iCs w:val="0"/>
                <w:color w:val="000000"/>
                <w:kern w:val="0"/>
                <w:sz w:val="21"/>
                <w:szCs w:val="21"/>
                <w:highlight w:val="none"/>
                <w:u w:val="none"/>
                <w:lang w:val="en-US" w:eastAsia="zh-CN" w:bidi="ar"/>
              </w:rPr>
              <w:t>实际完成的清收回款按照约定顺序冲抵处置费用、违约金及损害赔偿金、单户基础收益、单户清收目标、整包基础收益、整包清收目标后仍有剩余，则剩余部分作为超额清收回款，超额清收回款按照超额清收回款的100%分配给受托方，作为其清收服务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处置费用</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1.标的债权处置过程中涉及的税费、诉讼费（案件受理费、保全费、公告送达费等）、评估费、拍卖费用、其他中介机构服务费用（律师费除外）、公告费用、公证费用、执行费等；</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对于1.中的处置费用均由委托方先行支付。对于司法机关、税务部门或其他司法行政部门要求缴纳的费用，委托方依据受托方提供的缴费通知、合同、发票、银行回单等文件据实支付，但受托方应提前3个工作日向委托方提出申请。除此以外的费用按照委托方费用管理制度进行审批，据实支付，上限以委托方制度要求为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3.未承继的委托代理合同，由受托方与律师事务所自行结算；对于需要重新聘请律师事务所的债权，由受托方自行启动聘用程序，费用由受托方自行承担。</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4.在标的资产处置过程中，受托方产生的人员成本、差旅费、办公费用等相关费用均由</w:t>
            </w:r>
            <w:r>
              <w:rPr>
                <w:rFonts w:hint="eastAsia" w:ascii="宋体" w:hAnsi="宋体" w:cs="宋体"/>
                <w:i w:val="0"/>
                <w:iCs w:val="0"/>
                <w:color w:val="000000"/>
                <w:kern w:val="0"/>
                <w:sz w:val="21"/>
                <w:szCs w:val="21"/>
                <w:highlight w:val="none"/>
                <w:u w:val="none"/>
                <w:lang w:val="en-US" w:eastAsia="zh-CN" w:bidi="ar"/>
              </w:rPr>
              <w:t>受托方</w:t>
            </w:r>
            <w:r>
              <w:rPr>
                <w:rFonts w:hint="eastAsia" w:ascii="宋体" w:hAnsi="宋体" w:eastAsia="宋体" w:cs="宋体"/>
                <w:i w:val="0"/>
                <w:iCs w:val="0"/>
                <w:color w:val="000000"/>
                <w:kern w:val="0"/>
                <w:sz w:val="21"/>
                <w:szCs w:val="21"/>
                <w:highlight w:val="none"/>
                <w:u w:val="none"/>
                <w:lang w:val="en-US" w:eastAsia="zh-CN" w:bidi="ar"/>
              </w:rPr>
              <w:t>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5" w:hRule="atLeast"/>
        </w:trPr>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清收回款划付及回现分配顺序</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1.回款划付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以清收回款实际到达</w:t>
            </w:r>
            <w:r>
              <w:rPr>
                <w:rFonts w:hint="eastAsia" w:ascii="宋体" w:hAnsi="宋体" w:eastAsia="宋体" w:cs="宋体"/>
                <w:color w:val="000000"/>
                <w:kern w:val="0"/>
                <w:sz w:val="21"/>
                <w:szCs w:val="21"/>
                <w:highlight w:val="none"/>
                <w:lang w:val="en-US" w:eastAsia="zh-CN" w:bidi="ar"/>
              </w:rPr>
              <w:t>委托方</w:t>
            </w:r>
            <w:r>
              <w:rPr>
                <w:rFonts w:hint="default" w:ascii="宋体" w:hAnsi="宋体" w:eastAsia="宋体" w:cs="宋体"/>
                <w:color w:val="000000"/>
                <w:kern w:val="0"/>
                <w:sz w:val="21"/>
                <w:szCs w:val="21"/>
                <w:highlight w:val="none"/>
                <w:lang w:val="en-US" w:eastAsia="zh-CN" w:bidi="ar"/>
              </w:rPr>
              <w:t>指定的收款账户的时间和金额进行结算和考核。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2.以物抵债资产的分配：不接受实物资产分配，需将资产变现后按照协议约定进行分配。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3.分配顺序：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(1)委托方支付的清收处置费用；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(2)违约金及损害赔偿金；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(3)</w:t>
            </w:r>
            <w:r>
              <w:rPr>
                <w:rFonts w:hint="eastAsia" w:ascii="宋体" w:hAnsi="宋体" w:cs="宋体"/>
                <w:color w:val="000000"/>
                <w:kern w:val="0"/>
                <w:sz w:val="21"/>
                <w:szCs w:val="21"/>
                <w:highlight w:val="none"/>
                <w:lang w:val="en-US" w:eastAsia="zh-CN" w:bidi="ar"/>
              </w:rPr>
              <w:t>委托包处置过程中</w:t>
            </w:r>
            <w:r>
              <w:rPr>
                <w:rFonts w:hint="default" w:ascii="宋体" w:hAnsi="宋体" w:eastAsia="宋体" w:cs="宋体"/>
                <w:color w:val="000000"/>
                <w:kern w:val="0"/>
                <w:sz w:val="21"/>
                <w:szCs w:val="21"/>
                <w:highlight w:val="none"/>
                <w:lang w:val="en-US" w:eastAsia="zh-CN" w:bidi="ar"/>
              </w:rPr>
              <w:t>应付增值税及附加；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(4)单户基础收益；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(5)单户清收目标；</w:t>
            </w:r>
            <w:bookmarkStart w:id="12" w:name="_GoBack"/>
            <w:bookmarkEnd w:id="12"/>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(6)整包基础收益；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(7)整包清收目标</w:t>
            </w:r>
            <w:r>
              <w:rPr>
                <w:rFonts w:hint="eastAsia" w:ascii="宋体" w:hAnsi="宋体" w:cs="宋体"/>
                <w:color w:val="000000"/>
                <w:kern w:val="0"/>
                <w:sz w:val="21"/>
                <w:szCs w:val="21"/>
                <w:highlight w:val="none"/>
                <w:lang w:val="en-US" w:eastAsia="zh-CN" w:bidi="ar"/>
              </w:rPr>
              <w:t>（除整包基础收益）</w:t>
            </w:r>
            <w:r>
              <w:rPr>
                <w:rFonts w:hint="default" w:ascii="宋体" w:hAnsi="宋体" w:eastAsia="宋体" w:cs="宋体"/>
                <w:color w:val="000000"/>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考核机制</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委托方对标的债权的处置清收工作设置考核目标：</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根据标的债权情况，设置如下考核节点：</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1.委托方出资后1年内，累计分配金额不低于应计基础收益+清收处置费用+3000万元之和；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2.委托方出资后2年内，累计分配金额不低于应计基础收益+清收处置费用+10000万元之和；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3.委托方出资后3年内，累计分配金额不低于应计基础收益+清收处置费用+</w:t>
            </w:r>
            <w:r>
              <w:rPr>
                <w:rFonts w:hint="eastAsia" w:ascii="宋体" w:hAnsi="宋体" w:cs="宋体"/>
                <w:i w:val="0"/>
                <w:iCs w:val="0"/>
                <w:color w:val="000000"/>
                <w:kern w:val="0"/>
                <w:sz w:val="21"/>
                <w:szCs w:val="21"/>
                <w:highlight w:val="none"/>
                <w:u w:val="none"/>
                <w:lang w:val="en-US" w:eastAsia="zh-CN" w:bidi="ar"/>
              </w:rPr>
              <w:t>卖断价</w:t>
            </w:r>
            <w:r>
              <w:rPr>
                <w:rFonts w:hint="eastAsia" w:ascii="宋体" w:hAnsi="宋体" w:eastAsia="宋体" w:cs="宋体"/>
                <w:i w:val="0"/>
                <w:iCs w:val="0"/>
                <w:color w:val="000000"/>
                <w:kern w:val="0"/>
                <w:sz w:val="21"/>
                <w:szCs w:val="21"/>
                <w:highlight w:val="none"/>
                <w:u w:val="none"/>
                <w:lang w:val="en-US" w:eastAsia="zh-CN" w:bidi="ar"/>
              </w:rPr>
              <w:t>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151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禹洲酒店户</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特别约定</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1、交易后，除</w:t>
            </w:r>
            <w:r>
              <w:rPr>
                <w:rFonts w:hint="eastAsia" w:ascii="宋体" w:hAnsi="宋体" w:cs="宋体"/>
                <w:i w:val="0"/>
                <w:iCs w:val="0"/>
                <w:color w:val="000000"/>
                <w:kern w:val="0"/>
                <w:sz w:val="21"/>
                <w:szCs w:val="21"/>
                <w:highlight w:val="none"/>
                <w:u w:val="none"/>
                <w:lang w:val="en-US" w:eastAsia="zh-CN" w:bidi="ar"/>
              </w:rPr>
              <w:t>与我司</w:t>
            </w:r>
            <w:r>
              <w:rPr>
                <w:rFonts w:hint="eastAsia" w:ascii="宋体" w:hAnsi="宋体" w:eastAsia="宋体" w:cs="宋体"/>
                <w:i w:val="0"/>
                <w:iCs w:val="0"/>
                <w:color w:val="000000"/>
                <w:kern w:val="0"/>
                <w:sz w:val="21"/>
                <w:szCs w:val="21"/>
                <w:highlight w:val="none"/>
                <w:u w:val="none"/>
                <w:lang w:val="en-US" w:eastAsia="zh-CN" w:bidi="ar"/>
              </w:rPr>
              <w:t>签署《债权转让协议》</w:t>
            </w:r>
            <w:r>
              <w:rPr>
                <w:rFonts w:hint="eastAsia" w:ascii="宋体" w:hAnsi="宋体" w:cs="宋体"/>
                <w:i w:val="0"/>
                <w:iCs w:val="0"/>
                <w:color w:val="000000"/>
                <w:kern w:val="0"/>
                <w:sz w:val="21"/>
                <w:szCs w:val="21"/>
                <w:highlight w:val="none"/>
                <w:u w:val="none"/>
                <w:lang w:val="en-US" w:eastAsia="zh-CN" w:bidi="ar"/>
              </w:rPr>
              <w:t>、与受托人签署</w:t>
            </w:r>
            <w:r>
              <w:rPr>
                <w:rFonts w:hint="eastAsia" w:ascii="宋体" w:hAnsi="宋体" w:eastAsia="宋体" w:cs="宋体"/>
                <w:i w:val="0"/>
                <w:iCs w:val="0"/>
                <w:color w:val="000000"/>
                <w:kern w:val="0"/>
                <w:sz w:val="21"/>
                <w:szCs w:val="21"/>
                <w:highlight w:val="none"/>
                <w:u w:val="none"/>
                <w:lang w:val="en-US" w:eastAsia="zh-CN" w:bidi="ar"/>
              </w:rPr>
              <w:t>《委托清收协议》外，还将与受托人就信托事宜签署《债权收益权转让协议》及《信托补充协议》，并办理财产权信托受益人合法财产变更手续，同时在《信托补充协议》中约定：（1）后续信托计划实现销售回款分配至信托的，受托方与委托方之间按买受人报价结果确定分配回现金额（后续比例将根据双方项目剩余出资余额进行变动）。（2）2025-2026年度信托报酬由受托方与委托方</w:t>
            </w:r>
            <w:r>
              <w:rPr>
                <w:rFonts w:hint="eastAsia" w:ascii="宋体" w:hAnsi="宋体" w:cs="宋体"/>
                <w:i w:val="0"/>
                <w:iCs w:val="0"/>
                <w:color w:val="000000"/>
                <w:kern w:val="0"/>
                <w:sz w:val="21"/>
                <w:szCs w:val="21"/>
                <w:highlight w:val="none"/>
                <w:u w:val="none"/>
                <w:lang w:val="en-US" w:eastAsia="zh-CN" w:bidi="ar"/>
              </w:rPr>
              <w:t>按买受人报价结果中信托计划分配比例各自承担</w:t>
            </w:r>
            <w:r>
              <w:rPr>
                <w:rFonts w:hint="eastAsia" w:ascii="宋体" w:hAnsi="宋体" w:eastAsia="宋体" w:cs="宋体"/>
                <w:i w:val="0"/>
                <w:iCs w:val="0"/>
                <w:color w:val="000000"/>
                <w:kern w:val="0"/>
                <w:sz w:val="21"/>
                <w:szCs w:val="21"/>
                <w:highlight w:val="none"/>
                <w:u w:val="none"/>
                <w:lang w:val="en-US" w:eastAsia="zh-CN" w:bidi="ar"/>
              </w:rPr>
              <w:t>。（3）信托受益人变更手续完成后，信托涉及到的分配等事宜受托方与委托方各自起草书面指令送达受托人。</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2、如禹洲酒店户发生以下情形，受托方在财产信托计划中的</w:t>
            </w:r>
            <w:r>
              <w:rPr>
                <w:rFonts w:hint="eastAsia" w:ascii="宋体" w:hAnsi="宋体" w:cs="宋体"/>
                <w:i w:val="0"/>
                <w:iCs w:val="0"/>
                <w:color w:val="000000"/>
                <w:kern w:val="0"/>
                <w:sz w:val="21"/>
                <w:szCs w:val="21"/>
                <w:highlight w:val="none"/>
                <w:u w:val="none"/>
                <w:lang w:val="en-US" w:eastAsia="zh-CN" w:bidi="ar"/>
              </w:rPr>
              <w:t>禹洲债券</w:t>
            </w:r>
            <w:r>
              <w:rPr>
                <w:rFonts w:hint="eastAsia" w:ascii="宋体" w:hAnsi="宋体" w:eastAsia="宋体" w:cs="宋体"/>
                <w:i w:val="0"/>
                <w:iCs w:val="0"/>
                <w:color w:val="000000"/>
                <w:kern w:val="0"/>
                <w:sz w:val="21"/>
                <w:szCs w:val="21"/>
                <w:highlight w:val="none"/>
                <w:u w:val="none"/>
                <w:lang w:val="en-US" w:eastAsia="zh-CN" w:bidi="ar"/>
              </w:rPr>
              <w:t>项目实现本金全额回收的前提下，委托方与受托方按照8%与92%进行超额收益分成：</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①成交之日起6个月内，受托方未取得初审法院出具的胜诉判决；或胜诉判决未支持40,955.00万元债务本金或11%/年的重组收益；</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②成交之日起15个月内，如被告上诉，受托方未取得上级法院出具的胜诉判决；或胜诉判决未支持40,955.00万元债务本金或11%/年的重组收益。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违约情形及违约条款</w:t>
            </w:r>
          </w:p>
        </w:tc>
        <w:tc>
          <w:tcPr>
            <w:tcW w:w="698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若考核节点未达标，委托方有权提前解除委托处置协议。</w:t>
            </w:r>
          </w:p>
        </w:tc>
      </w:tr>
    </w:tbl>
    <w:p>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firstLine="619" w:firstLineChars="200"/>
        <w:textAlignment w:val="auto"/>
        <w:rPr>
          <w:rFonts w:hint="eastAsia" w:ascii="仿宋_GB2312" w:hAnsi="仿宋_GB2312" w:eastAsia="仿宋_GB2312" w:cs="仿宋_GB2312"/>
          <w:bCs/>
          <w:color w:val="000000"/>
          <w:sz w:val="32"/>
          <w:szCs w:val="32"/>
        </w:rPr>
      </w:pPr>
      <w:r>
        <w:rPr>
          <w:rFonts w:hint="eastAsia" w:ascii="Times New Roman" w:hAnsi="Times New Roman" w:eastAsia="仿宋_GB2312" w:cs="Times New Roman"/>
          <w:b/>
          <w:bCs/>
          <w:spacing w:val="-6"/>
          <w:sz w:val="32"/>
          <w:szCs w:val="32"/>
          <w:highlight w:val="none"/>
          <w:lang w:val="en-US" w:eastAsia="zh-CN"/>
        </w:rPr>
        <w:t>竞价人可自行联系我司以了解委托处置条款具体内容。</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六</w:t>
      </w:r>
      <w:r>
        <w:rPr>
          <w:rFonts w:hint="eastAsia" w:ascii="仿宋_GB2312" w:hAnsi="仿宋_GB2312" w:eastAsia="仿宋_GB2312" w:cs="仿宋_GB2312"/>
          <w:bCs/>
          <w:color w:val="000000"/>
          <w:sz w:val="32"/>
          <w:szCs w:val="32"/>
        </w:rPr>
        <w:t>、签约及付款期限</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采取一次性付款方式，竞价成交后3个工作日内（且最晚不超过2025年12月31日）签订债权转让协议并付清全部价款。意向保证金（如有，不计息）和竞价保证金（不计息）转为履约保证金，在付清价款时可冲抵债权转让价款。</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七</w:t>
      </w:r>
      <w:r>
        <w:rPr>
          <w:rFonts w:hint="eastAsia" w:ascii="仿宋_GB2312" w:hAnsi="仿宋_GB2312" w:eastAsia="仿宋_GB2312" w:cs="仿宋_GB2312"/>
          <w:bCs/>
          <w:color w:val="000000"/>
          <w:sz w:val="32"/>
          <w:szCs w:val="32"/>
        </w:rPr>
        <w:t>、保证金规则</w:t>
      </w:r>
    </w:p>
    <w:p>
      <w:pPr>
        <w:ind w:firstLine="640" w:firstLineChars="200"/>
        <w:rPr>
          <w:rFonts w:ascii="仿宋_GB2312" w:hAnsi="仿宋_GB2312" w:eastAsia="仿宋_GB2312" w:cs="仿宋_GB2312"/>
          <w:bCs/>
          <w:color w:val="000000"/>
          <w:sz w:val="32"/>
          <w:szCs w:val="32"/>
          <w:highlight w:val="yellow"/>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highlight w:val="yellow"/>
        </w:rPr>
        <w:t>本次竞价保证金为</w:t>
      </w:r>
      <w:r>
        <w:rPr>
          <w:rFonts w:ascii="仿宋_GB2312" w:hAnsi="仿宋_GB2312" w:eastAsia="仿宋_GB2312" w:cs="仿宋_GB2312"/>
          <w:bCs/>
          <w:color w:val="000000"/>
          <w:sz w:val="32"/>
          <w:szCs w:val="32"/>
          <w:highlight w:val="yellow"/>
        </w:rPr>
        <w:t>5</w:t>
      </w:r>
      <w:r>
        <w:rPr>
          <w:rFonts w:hint="eastAsia" w:ascii="仿宋_GB2312" w:hAnsi="仿宋_GB2312" w:eastAsia="仿宋_GB2312" w:cs="仿宋_GB2312"/>
          <w:bCs/>
          <w:color w:val="000000"/>
          <w:sz w:val="32"/>
          <w:szCs w:val="32"/>
          <w:highlight w:val="yellow"/>
        </w:rPr>
        <w:t>00万元。竞价结束后未能竞得者的保证金自动退回，期间不计利息。标的债权竞得者原缴纳的保证金自动转入我司指定账户，竞价余款按付款期限及《债权转让协议》要求缴入指定账户(户名：中国中信金融资产管理股份有限公司浙江省分公司，开户银行：中国工商银行杭州羊坝头支行，账号：1202020129900198309）。</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（二）下列情况，竞买人缴纳的保证金归我司所有：</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1、竞买人在竞价过程中违反竞价规则和产权交易相关规则，扰乱竞价秩序的； </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2、因竞买人原因未在竞价成交后</w:t>
      </w:r>
      <w:r>
        <w:rPr>
          <w:rFonts w:hint="eastAsia" w:ascii="仿宋_GB2312" w:hAnsi="仿宋_GB2312" w:eastAsia="仿宋_GB2312" w:cs="仿宋_GB2312"/>
          <w:sz w:val="32"/>
          <w:szCs w:val="32"/>
          <w:highlight w:val="none"/>
          <w:lang w:val="en-US" w:eastAsia="zh-CN"/>
        </w:rPr>
        <w:t>竞价成交后3个工作日内（且最晚不超过2025年12月31日）</w:t>
      </w:r>
      <w:r>
        <w:rPr>
          <w:rFonts w:hint="eastAsia" w:ascii="仿宋_GB2312" w:hAnsi="仿宋_GB2312" w:eastAsia="仿宋_GB2312" w:cs="仿宋_GB2312"/>
          <w:bCs/>
          <w:color w:val="000000"/>
          <w:sz w:val="32"/>
          <w:szCs w:val="32"/>
        </w:rPr>
        <w:t>内签订《债权转让协议》；</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3、竞买人未按交易条件的要求完成标的交付交接的； </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4、竞买人出现下列恶意炒作及市场操纵情形的：1）捏造散布涨价信息；2）恶意囤货；3）哄抬价格谋取暴利；4）其他通过非正当手段扰乱市场的行为；</w:t>
      </w:r>
    </w:p>
    <w:p>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5、竞买人不符合“竞买须知”中“竞买人条件”的。</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八</w:t>
      </w:r>
      <w:r>
        <w:rPr>
          <w:rFonts w:hint="eastAsia" w:ascii="仿宋_GB2312" w:hAnsi="仿宋_GB2312" w:eastAsia="仿宋_GB2312" w:cs="仿宋_GB2312"/>
          <w:bCs/>
          <w:color w:val="000000"/>
          <w:sz w:val="32"/>
          <w:szCs w:val="32"/>
        </w:rPr>
        <w:t>、违约责任</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（一）买受人应在竞价成交后</w:t>
      </w:r>
      <w:r>
        <w:rPr>
          <w:rFonts w:hint="eastAsia" w:ascii="仿宋_GB2312" w:hAnsi="仿宋_GB2312" w:eastAsia="仿宋_GB2312" w:cs="仿宋_GB2312"/>
          <w:sz w:val="32"/>
          <w:szCs w:val="32"/>
          <w:highlight w:val="none"/>
          <w:lang w:val="en-US" w:eastAsia="zh-CN"/>
        </w:rPr>
        <w:t>3个工作日内（且最晚不超过2025年12月31日）</w:t>
      </w:r>
      <w:r>
        <w:rPr>
          <w:rFonts w:hint="eastAsia" w:ascii="仿宋_GB2312" w:hAnsi="仿宋_GB2312" w:eastAsia="仿宋_GB2312" w:cs="仿宋_GB2312"/>
          <w:bCs/>
          <w:color w:val="000000"/>
          <w:sz w:val="32"/>
          <w:szCs w:val="32"/>
        </w:rPr>
        <w:t>签订《债权转让协议》并如期付清价款，如买受人迟延未签订《债权转让协议》，则我司有权选择：</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1、要求买受人尽快签订《债权转让协议》。每逾期一日，买受人应按应付价款的万分之五向我司支付滞纳金。买受人向我司支付的任何价款优先冲抵滞纳金。</w:t>
      </w:r>
    </w:p>
    <w:p>
      <w:pPr>
        <w:numPr>
          <w:ilvl w:val="255"/>
          <w:numId w:val="0"/>
        </w:num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不予签订《债权转让协议》并没收买受人已缴纳的保证金及其他已支付的款项。如给我司造成损失的，买受人需承担该损失。我司有权另行对标的进行公开处置。标的债权再行公开出售的，原买受人应当支付前次竞价中本人及委托人应当支付的交易服务费。我司另行处置标的时的处置价格与本次转让价格之间的差额及另行处置所产生的费用视为我司因买受人违约而遭受的实际损失之一。如没收金额不足以弥补我司实际损失的，我司有权继续向买受人追索。</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（二）如买受人违反付款义务</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未能按时足额支付相应款项的，我司有权要求买受人按《债权转让协议》约定承担违约责任，包括但不限于没收买受人已交纳的竞价保证金及已支付的款项。</w:t>
      </w:r>
    </w:p>
    <w:p>
      <w:pPr>
        <w:ind w:firstLine="640" w:firstLineChars="200"/>
        <w:rPr>
          <w:rFonts w:ascii="仿宋_GB2312" w:hAnsi="仿宋_GB2312" w:eastAsia="仿宋_GB2312" w:cs="仿宋_GB2312"/>
          <w:bCs/>
          <w:color w:val="000000"/>
          <w:sz w:val="32"/>
          <w:szCs w:val="32"/>
          <w:highlight w:val="yellow"/>
        </w:rPr>
      </w:pPr>
      <w:r>
        <w:rPr>
          <w:rFonts w:hint="eastAsia" w:ascii="仿宋_GB2312" w:hAnsi="仿宋_GB2312" w:eastAsia="仿宋_GB2312" w:cs="仿宋_GB2312"/>
          <w:bCs/>
          <w:color w:val="000000"/>
          <w:sz w:val="32"/>
          <w:szCs w:val="32"/>
        </w:rPr>
        <w:t>（三）债权资产竞买成交且付清全部成交价款后，请买受人到我司办理资产档案移交手续。买受人未按照约定受领标的的，应当自行承担迟延受领标的档案材料所产生的一切后果，同时须支付由此产生的保管费用。</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九</w:t>
      </w:r>
      <w:r>
        <w:rPr>
          <w:rFonts w:hint="eastAsia" w:ascii="仿宋_GB2312" w:hAnsi="仿宋_GB2312" w:eastAsia="仿宋_GB2312" w:cs="仿宋_GB2312"/>
          <w:bCs/>
          <w:color w:val="000000"/>
          <w:sz w:val="32"/>
          <w:szCs w:val="32"/>
        </w:rPr>
        <w:t>、重要提示</w:t>
      </w:r>
    </w:p>
    <w:p>
      <w:pPr>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与标的债权相关的债务人或担保人或其他责任主体可能存在破产（包括但不限于破产清算、破产重整、破产和解、重整计划执行完毕、破产终结等情形）、被解散、被撤销、被注销、被吊销、歇业、被关闭、下落不明以及其他主体存续瑕疵的情形，对标的债权实现可能有不利影响。</w:t>
      </w:r>
    </w:p>
    <w:p>
      <w:pPr>
        <w:ind w:firstLine="640" w:firstLineChars="200"/>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Cs/>
          <w:color w:val="000000"/>
          <w:sz w:val="32"/>
          <w:szCs w:val="32"/>
        </w:rPr>
        <w:t>浙江万盛铜业有限公司等5户债权抵质押物瑕疵及相关处置事宜由竞买人自行尽调核实并承担相关风险。</w:t>
      </w:r>
    </w:p>
    <w:p>
      <w:pPr>
        <w:ind w:firstLine="640" w:firstLineChars="200"/>
        <w:rPr>
          <w:rFonts w:ascii="仿宋_GB2312" w:hAnsi="仿宋_GB2312" w:eastAsia="仿宋_GB2312" w:cs="仿宋_GB2312"/>
          <w:b/>
          <w:color w:val="000000"/>
          <w:sz w:val="32"/>
          <w:szCs w:val="32"/>
        </w:rPr>
      </w:pPr>
      <w:r>
        <w:rPr>
          <w:rFonts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rPr>
        <w:t>、标的债权抵质押物的数量以及状况均以实物现状为准，其任何瑕疵（如房地产实测面积与证载面积不符、抵押物已被拆除、抵押物可能存在租赁关系、抵质押可能被占用等）均不影响本次竞价成交价。此外，实际债权及从权利或其他权利可能存在瑕疵，各竞买人需自行对债权资产进行尽职调查，可能存在的风险由竞买人自行承担。</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rPr>
        <w:t>、标的债权成交价款的付款方式、付款期限等付款安排均以竞买须知为准；竞买人在正式竞价活动开始前请务必再仔细阅读我司竞买须知、竞买公告等有关文件。</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5</w:t>
      </w:r>
      <w:r>
        <w:rPr>
          <w:rFonts w:hint="eastAsia" w:ascii="仿宋_GB2312" w:hAnsi="仿宋_GB2312" w:eastAsia="仿宋_GB2312" w:cs="仿宋_GB2312"/>
          <w:bCs/>
          <w:color w:val="000000"/>
          <w:sz w:val="32"/>
          <w:szCs w:val="32"/>
        </w:rPr>
        <w:t>、本次竞价由</w:t>
      </w:r>
      <w:r>
        <w:rPr>
          <w:rFonts w:hint="eastAsia" w:ascii="仿宋_GB2312" w:hAnsi="仿宋_GB2312" w:eastAsia="仿宋_GB2312" w:cs="仿宋_GB2312"/>
          <w:bCs/>
          <w:color w:val="000000"/>
          <w:sz w:val="32"/>
          <w:szCs w:val="32"/>
          <w:u w:val="single"/>
          <w:lang w:val="en-US" w:eastAsia="zh-CN"/>
        </w:rPr>
        <w:t>京东</w:t>
      </w:r>
      <w:r>
        <w:rPr>
          <w:rFonts w:hint="eastAsia" w:ascii="仿宋_GB2312" w:hAnsi="仿宋_GB2312" w:eastAsia="仿宋_GB2312" w:cs="仿宋_GB2312"/>
          <w:bCs/>
          <w:color w:val="000000"/>
          <w:sz w:val="32"/>
          <w:szCs w:val="32"/>
          <w:u w:val="single"/>
        </w:rPr>
        <w:t>拍卖</w:t>
      </w:r>
      <w:r>
        <w:rPr>
          <w:rFonts w:hint="eastAsia" w:ascii="仿宋_GB2312" w:hAnsi="仿宋_GB2312" w:eastAsia="仿宋_GB2312" w:cs="仿宋_GB2312"/>
          <w:bCs/>
          <w:color w:val="000000"/>
          <w:sz w:val="32"/>
          <w:szCs w:val="32"/>
          <w:u w:val="single"/>
          <w:lang w:val="en-US" w:eastAsia="zh-CN"/>
        </w:rPr>
        <w:t>资产交易</w:t>
      </w:r>
      <w:r>
        <w:rPr>
          <w:rFonts w:hint="eastAsia" w:ascii="仿宋_GB2312" w:hAnsi="仿宋_GB2312" w:eastAsia="仿宋_GB2312" w:cs="仿宋_GB2312"/>
          <w:bCs/>
          <w:color w:val="000000"/>
          <w:sz w:val="32"/>
          <w:szCs w:val="32"/>
          <w:u w:val="single"/>
        </w:rPr>
        <w:t>平台</w:t>
      </w:r>
      <w:r>
        <w:rPr>
          <w:rFonts w:hint="eastAsia" w:ascii="仿宋_GB2312" w:hAnsi="仿宋_GB2312" w:eastAsia="仿宋_GB2312" w:cs="仿宋_GB2312"/>
          <w:bCs/>
          <w:color w:val="000000"/>
          <w:sz w:val="32"/>
          <w:szCs w:val="32"/>
        </w:rPr>
        <w:t>收取平台服务费，具体标准以</w:t>
      </w:r>
      <w:r>
        <w:rPr>
          <w:rFonts w:hint="eastAsia" w:ascii="仿宋_GB2312" w:hAnsi="仿宋_GB2312" w:eastAsia="仿宋_GB2312" w:cs="仿宋_GB2312"/>
          <w:bCs/>
          <w:color w:val="000000"/>
          <w:sz w:val="32"/>
          <w:szCs w:val="32"/>
          <w:u w:val="single"/>
        </w:rPr>
        <w:t>京东拍卖资产交易平台</w:t>
      </w:r>
      <w:r>
        <w:rPr>
          <w:rFonts w:hint="eastAsia" w:ascii="仿宋_GB2312" w:hAnsi="仿宋_GB2312" w:eastAsia="仿宋_GB2312" w:cs="仿宋_GB2312"/>
          <w:bCs/>
          <w:color w:val="000000"/>
          <w:sz w:val="32"/>
          <w:szCs w:val="32"/>
        </w:rPr>
        <w:t>公布的《资产交易平台收费规则》及相关文件为准，由竞买人承担</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highlight w:val="yellow"/>
          <w:lang w:val="en-US" w:eastAsia="zh-CN"/>
        </w:rPr>
        <w:t>总费用不超过5万元</w:t>
      </w:r>
      <w:r>
        <w:rPr>
          <w:rFonts w:hint="eastAsia" w:ascii="仿宋_GB2312" w:hAnsi="仿宋_GB2312" w:eastAsia="仿宋_GB2312" w:cs="仿宋_GB2312"/>
          <w:bCs/>
          <w:color w:val="000000"/>
          <w:sz w:val="32"/>
          <w:szCs w:val="32"/>
        </w:rPr>
        <w:t>。竞买人于成交后2日内</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且不晚于2025年12月31日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通过线上</w:t>
      </w:r>
      <w:r>
        <w:rPr>
          <w:rFonts w:hint="eastAsia" w:ascii="仿宋_GB2312" w:hAnsi="仿宋_GB2312" w:eastAsia="仿宋_GB2312" w:cs="仿宋_GB2312"/>
          <w:bCs/>
          <w:color w:val="000000"/>
          <w:sz w:val="32"/>
          <w:szCs w:val="32"/>
          <w:u w:val="single"/>
          <w:lang w:val="en-US" w:eastAsia="zh-CN"/>
        </w:rPr>
        <w:t>京东</w:t>
      </w:r>
      <w:r>
        <w:rPr>
          <w:rFonts w:hint="eastAsia" w:ascii="仿宋_GB2312" w:hAnsi="仿宋_GB2312" w:eastAsia="仿宋_GB2312" w:cs="仿宋_GB2312"/>
          <w:bCs/>
          <w:color w:val="000000"/>
          <w:sz w:val="32"/>
          <w:szCs w:val="32"/>
        </w:rPr>
        <w:t>订单向</w:t>
      </w:r>
      <w:r>
        <w:rPr>
          <w:rFonts w:hint="eastAsia" w:ascii="仿宋_GB2312" w:hAnsi="仿宋_GB2312" w:eastAsia="仿宋_GB2312" w:cs="仿宋_GB2312"/>
          <w:bCs/>
          <w:color w:val="000000"/>
          <w:sz w:val="32"/>
          <w:szCs w:val="32"/>
          <w:u w:val="single"/>
        </w:rPr>
        <w:t>京东拍卖资产交易平台</w:t>
      </w:r>
      <w:r>
        <w:rPr>
          <w:rFonts w:hint="eastAsia" w:ascii="仿宋_GB2312" w:hAnsi="仿宋_GB2312" w:eastAsia="仿宋_GB2312" w:cs="仿宋_GB2312"/>
          <w:bCs/>
          <w:color w:val="000000"/>
          <w:sz w:val="32"/>
          <w:szCs w:val="32"/>
        </w:rPr>
        <w:t>支付平台服务费,竞买人逾期或迟延支付平台服务费的，我司有权迟延交割或交付标的债权及相关债权文件。</w:t>
      </w:r>
    </w:p>
    <w:p>
      <w:pPr>
        <w:ind w:firstLine="640" w:firstLineChars="200"/>
        <w:rPr>
          <w:rFonts w:ascii="仿宋_GB2312" w:hAnsi="仿宋_GB2312" w:eastAsia="仿宋_GB2312" w:cs="仿宋_GB2312"/>
          <w:bCs/>
          <w:color w:val="000000"/>
          <w:sz w:val="32"/>
          <w:szCs w:val="32"/>
        </w:rPr>
      </w:pPr>
    </w:p>
    <w:p>
      <w:pPr>
        <w:jc w:val="righ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中国中信金融资产管理股份有限公司</w:t>
      </w:r>
    </w:p>
    <w:p>
      <w:pPr>
        <w:jc w:val="righ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浙江省分公司</w:t>
      </w:r>
    </w:p>
    <w:p>
      <w:pPr>
        <w:ind w:firstLine="640" w:firstLineChars="200"/>
        <w:jc w:val="right"/>
      </w:pPr>
      <w:r>
        <w:rPr>
          <w:rFonts w:hint="eastAsia" w:ascii="仿宋_GB2312" w:hAnsi="仿宋_GB2312" w:eastAsia="仿宋_GB2312" w:cs="仿宋_GB2312"/>
          <w:bCs/>
          <w:color w:val="000000"/>
          <w:sz w:val="32"/>
          <w:szCs w:val="32"/>
        </w:rPr>
        <w:t>2025年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仿宋_GB2312" w:hAnsi="仿宋_GB2312" w:eastAsia="仿宋_GB2312" w:cs="仿宋_GB2312"/>
        <w:sz w:val="22"/>
      </w:rPr>
      <w:t>制度编号/版本：12-03004-48/C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EB684"/>
    <w:multiLevelType w:val="multilevel"/>
    <w:tmpl w:val="52DEB684"/>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
      <w:suff w:val="nothing"/>
      <w:lvlText w:val="（%2）"/>
      <w:lvlJc w:val="left"/>
      <w:pPr>
        <w:tabs>
          <w:tab w:val="left" w:pos="0"/>
        </w:tabs>
        <w:ind w:left="0" w:firstLine="0"/>
      </w:pPr>
      <w:rPr>
        <w:rFonts w:hint="eastAsia" w:ascii="宋体" w:hAnsi="宋体" w:eastAsia="楷体" w:cs="宋体"/>
      </w:rPr>
    </w:lvl>
    <w:lvl w:ilvl="2" w:tentative="0">
      <w:start w:val="1"/>
      <w:numFmt w:val="decimal"/>
      <w:suff w:val="nothing"/>
      <w:lvlText w:val="%3．"/>
      <w:lvlJc w:val="left"/>
      <w:pPr>
        <w:ind w:left="2152"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tabs>
          <w:tab w:val="left" w:pos="0"/>
        </w:tabs>
        <w:ind w:left="0" w:firstLine="402"/>
      </w:pPr>
      <w:rPr>
        <w:rFonts w:hint="eastAsia" w:ascii="宋体" w:hAnsi="宋体" w:eastAsia="仿宋_GB2312"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ZTVhNjA1NTllYTg4MDc4OTEyMzA4NjMzM2ZhNzEifQ=="/>
  </w:docVars>
  <w:rsids>
    <w:rsidRoot w:val="007D3DED"/>
    <w:rsid w:val="000C3E61"/>
    <w:rsid w:val="00321BB4"/>
    <w:rsid w:val="005E76C8"/>
    <w:rsid w:val="007D3DED"/>
    <w:rsid w:val="00E52AE3"/>
    <w:rsid w:val="018E5E4D"/>
    <w:rsid w:val="02026BF5"/>
    <w:rsid w:val="02F31C00"/>
    <w:rsid w:val="03A447B0"/>
    <w:rsid w:val="04FD697D"/>
    <w:rsid w:val="05EC713F"/>
    <w:rsid w:val="06A9078D"/>
    <w:rsid w:val="06F63961"/>
    <w:rsid w:val="09AB72A1"/>
    <w:rsid w:val="0B4C57E7"/>
    <w:rsid w:val="101070BF"/>
    <w:rsid w:val="12917CFE"/>
    <w:rsid w:val="12DA38C8"/>
    <w:rsid w:val="13C15796"/>
    <w:rsid w:val="154204F7"/>
    <w:rsid w:val="156C12A5"/>
    <w:rsid w:val="1646084F"/>
    <w:rsid w:val="16A92D7C"/>
    <w:rsid w:val="193D5B3C"/>
    <w:rsid w:val="21955C9A"/>
    <w:rsid w:val="23602F8C"/>
    <w:rsid w:val="273119CD"/>
    <w:rsid w:val="2BD6274F"/>
    <w:rsid w:val="2CCF726E"/>
    <w:rsid w:val="2DFE2AE4"/>
    <w:rsid w:val="2EF74AA0"/>
    <w:rsid w:val="2F6134A7"/>
    <w:rsid w:val="32E86511"/>
    <w:rsid w:val="36FA24BA"/>
    <w:rsid w:val="396D60E4"/>
    <w:rsid w:val="39CC4B2D"/>
    <w:rsid w:val="3A163731"/>
    <w:rsid w:val="3AA275C7"/>
    <w:rsid w:val="3C754515"/>
    <w:rsid w:val="3C7B16C7"/>
    <w:rsid w:val="3C8562F7"/>
    <w:rsid w:val="3C997FC6"/>
    <w:rsid w:val="3CD10E1C"/>
    <w:rsid w:val="3E723650"/>
    <w:rsid w:val="48C733D2"/>
    <w:rsid w:val="4AB904E5"/>
    <w:rsid w:val="4C231F84"/>
    <w:rsid w:val="4D5D4F9B"/>
    <w:rsid w:val="4D8B6E3A"/>
    <w:rsid w:val="518D2DE7"/>
    <w:rsid w:val="51AA3F1C"/>
    <w:rsid w:val="52817FD1"/>
    <w:rsid w:val="54F6138C"/>
    <w:rsid w:val="56BF0263"/>
    <w:rsid w:val="56C56354"/>
    <w:rsid w:val="5A357A30"/>
    <w:rsid w:val="5AE8114D"/>
    <w:rsid w:val="5CE54BC3"/>
    <w:rsid w:val="5D9921E0"/>
    <w:rsid w:val="5DB551EA"/>
    <w:rsid w:val="5FAD2A17"/>
    <w:rsid w:val="640C7FE3"/>
    <w:rsid w:val="650C21D5"/>
    <w:rsid w:val="67A068F9"/>
    <w:rsid w:val="684A45AA"/>
    <w:rsid w:val="68E272C5"/>
    <w:rsid w:val="690F3AAB"/>
    <w:rsid w:val="6AB3217A"/>
    <w:rsid w:val="6F2D6424"/>
    <w:rsid w:val="72B62470"/>
    <w:rsid w:val="785E54DC"/>
    <w:rsid w:val="785F2AB4"/>
    <w:rsid w:val="78BC201A"/>
    <w:rsid w:val="7A086840"/>
    <w:rsid w:val="7A1A204E"/>
    <w:rsid w:val="7A903E57"/>
    <w:rsid w:val="7AE17B08"/>
    <w:rsid w:val="7B270353"/>
    <w:rsid w:val="7B8D0060"/>
    <w:rsid w:val="7CCE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numPr>
        <w:ilvl w:val="1"/>
        <w:numId w:val="1"/>
      </w:numPr>
      <w:spacing w:line="360" w:lineRule="auto"/>
      <w:outlineLvl w:val="1"/>
    </w:pPr>
    <w:rPr>
      <w:rFonts w:ascii="Arial" w:hAnsi="Arial" w:eastAsia="楷体"/>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lang w:eastAsia="ko-KR"/>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Calibri" w:hAnsi="Calibri"/>
      <w:kern w:val="2"/>
      <w:sz w:val="18"/>
      <w:szCs w:val="18"/>
    </w:rPr>
  </w:style>
  <w:style w:type="character" w:customStyle="1" w:styleId="13">
    <w:name w:val="页脚 字符"/>
    <w:basedOn w:val="11"/>
    <w:link w:val="6"/>
    <w:qFormat/>
    <w:uiPriority w:val="0"/>
    <w:rPr>
      <w:rFonts w:ascii="Calibri" w:hAnsi="Calibri"/>
      <w:kern w:val="2"/>
      <w:sz w:val="18"/>
      <w:szCs w:val="18"/>
    </w:rPr>
  </w:style>
  <w:style w:type="character" w:customStyle="1" w:styleId="14">
    <w:name w:val="批注框文本 字符"/>
    <w:basedOn w:val="11"/>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中国华融资产管理股份有限公司</Company>
  <Pages>10</Pages>
  <Words>2923</Words>
  <Characters>2991</Characters>
  <Lines>22</Lines>
  <Paragraphs>6</Paragraphs>
  <TotalTime>8</TotalTime>
  <ScaleCrop>false</ScaleCrop>
  <LinksUpToDate>false</LinksUpToDate>
  <CharactersWithSpaces>2999</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chenxin</dc:creator>
  <cp:lastModifiedBy>liuzhou</cp:lastModifiedBy>
  <cp:lastPrinted>2025-12-19T14:00:00Z</cp:lastPrinted>
  <dcterms:modified xsi:type="dcterms:W3CDTF">2025-12-20T09:07:17Z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0922384F32FA4F7297FF9214D932636B</vt:lpwstr>
  </property>
</Properties>
</file>