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附件4：</w:t>
      </w:r>
    </w:p>
    <w:p>
      <w:pPr>
        <w:spacing w:after="0" w:line="560" w:lineRule="exact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评分标准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本次采购采用综合评分法，总分100分。磋商评审小组对通过资格审查的供应商的响应文件进行独立打分，计算算术平均分为供应商最终得分，得分最高者为第一成交候选人。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一、评审程序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资格审查</w:t>
      </w:r>
      <w:r>
        <w:rPr>
          <w:rFonts w:ascii="仿宋" w:hAnsi="仿宋" w:eastAsia="仿宋"/>
          <w:sz w:val="28"/>
          <w:szCs w:val="28"/>
        </w:rPr>
        <w:t>：评审小组首先对所有供应商进行资格审查，未通过资格审查的供应商不进入详细评审；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详细评审</w:t>
      </w:r>
      <w:r>
        <w:rPr>
          <w:rFonts w:ascii="仿宋" w:hAnsi="仿宋" w:eastAsia="仿宋"/>
          <w:sz w:val="28"/>
          <w:szCs w:val="28"/>
        </w:rPr>
        <w:t>：对通过资格审查的供应商，按照以下评分标准进行综合评分；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磋商及最终报价</w:t>
      </w:r>
      <w:r>
        <w:rPr>
          <w:rFonts w:ascii="仿宋" w:hAnsi="仿宋" w:eastAsia="仿宋"/>
          <w:sz w:val="28"/>
          <w:szCs w:val="28"/>
        </w:rPr>
        <w:t>：评审小组与供应商进行磋商，供应商可进行最终报价（多轮）；</w:t>
      </w:r>
    </w:p>
    <w:p>
      <w:pPr>
        <w:numPr>
          <w:ilvl w:val="0"/>
          <w:numId w:val="1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汇总得分</w:t>
      </w:r>
      <w:r>
        <w:rPr>
          <w:rFonts w:ascii="仿宋" w:hAnsi="仿宋" w:eastAsia="仿宋"/>
          <w:sz w:val="28"/>
          <w:szCs w:val="28"/>
        </w:rPr>
        <w:t>：最终报价结束后，按照评分标准汇总各供应商最终得分。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二、资格审查标准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1"/>
        <w:gridCol w:w="1503"/>
        <w:gridCol w:w="4349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审查项目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合格标准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审查依据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独立法人资格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持有合法有效的营业执照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营业执照复印件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专业资质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具有工程咨询单位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甲级</w:t>
            </w:r>
            <w:r>
              <w:rPr>
                <w:rFonts w:ascii="仿宋" w:hAnsi="仿宋" w:eastAsia="仿宋"/>
                <w:sz w:val="28"/>
                <w:szCs w:val="28"/>
              </w:rPr>
              <w:t>资信证书（港口河海工程专业）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资信证书复印件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项目负责人资格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高级工程师及以上职称或咨询工程师（投资）资格，8年以上经验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资格证书、业绩证明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业绩要求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近三年至少1个同类项目业绩（港口/码头类咨询）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合同复印件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信誉要求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近三年无重大违法失信记录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承诺书、信用中国查询截图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联合体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不接受联合体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响应文件符合性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符合磋商文件格式、签署、密封等要求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响应文件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以上审查项目全部合格方可通过资格审查，任意一项不合格即为资格审查不通过。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三、详细评审标准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（一）报价部分（满分20分）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1. 报价得分（20分）</w:t>
      </w:r>
    </w:p>
    <w:p>
      <w:p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评审原则</w:t>
      </w:r>
      <w:r>
        <w:rPr>
          <w:rFonts w:ascii="仿宋" w:hAnsi="仿宋" w:eastAsia="仿宋"/>
          <w:sz w:val="28"/>
          <w:szCs w:val="28"/>
        </w:rPr>
        <w:t>：报价超过最高限价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42</w:t>
      </w:r>
      <w:r>
        <w:rPr>
          <w:rFonts w:ascii="仿宋" w:hAnsi="仿宋" w:eastAsia="仿宋"/>
          <w:sz w:val="28"/>
          <w:szCs w:val="28"/>
        </w:rPr>
        <w:t>万元的，报价部分得0分。</w:t>
      </w:r>
    </w:p>
    <w:p>
      <w:p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基准价计算</w:t>
      </w:r>
      <w:r>
        <w:rPr>
          <w:rFonts w:ascii="仿宋" w:hAnsi="仿宋" w:eastAsia="仿宋"/>
          <w:sz w:val="28"/>
          <w:szCs w:val="28"/>
        </w:rPr>
        <w:t>：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当通过资格审查的有效供应商≥5家时，去掉1家最高报价和1家最低报价后，取剩余供应商报价的算术平均值作为基准价（当出现相同最高或最低报价时，一并去掉）；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当通过资格审查的有效供应商＜5家时，取全部有效报价的算术平均值作为基准价。</w:t>
      </w:r>
    </w:p>
    <w:p>
      <w:p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得分计算公式</w:t>
      </w:r>
      <w:r>
        <w:rPr>
          <w:rFonts w:ascii="仿宋" w:hAnsi="仿宋" w:eastAsia="仿宋"/>
          <w:sz w:val="28"/>
          <w:szCs w:val="28"/>
        </w:rPr>
        <w:t>：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当供应商报价等于基准价时，得20分；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当供应商报价低于基准价时，每低于基准价1%，以20分为基数，扣0.4分，扣完为止，不足1%采用内插法；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当供应商报价高于基准价时，每高于基准价1%，以20分为基数，扣0.8分，扣完为止，不足1%采用内插法。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（二）商务部分（满分35分）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1. 供应商资质与综合实力（10分）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762"/>
        <w:gridCol w:w="7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3" w:hRule="atLeast"/>
          <w:tblHeader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评分等级</w:t>
            </w:r>
          </w:p>
        </w:tc>
        <w:tc>
          <w:tcPr>
            <w:tcW w:w="7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标准描述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一档</w:t>
            </w:r>
          </w:p>
        </w:tc>
        <w:tc>
          <w:tcPr>
            <w:tcW w:w="7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具有工程咨询单位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甲级</w:t>
            </w:r>
            <w:r>
              <w:rPr>
                <w:rFonts w:ascii="仿宋" w:hAnsi="仿宋" w:eastAsia="仿宋"/>
                <w:sz w:val="28"/>
                <w:szCs w:val="28"/>
              </w:rPr>
              <w:t>资信证书（港口河海工程专业），公司成立时间不足5年，人员规模不足20人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二档</w:t>
            </w:r>
          </w:p>
        </w:tc>
        <w:tc>
          <w:tcPr>
            <w:tcW w:w="7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具有工程咨询单位甲级资信证书（港口河海工程专业），公司成立5-10年，人员规模20-50人，通过ISO9001质量管理体系认证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三档</w:t>
            </w:r>
          </w:p>
        </w:tc>
        <w:tc>
          <w:tcPr>
            <w:tcW w:w="7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具有工程咨询单位甲级资信证书（港口河海工程专业）且同时具有水运（含港口河海工程）专业设计资质，公司成立10年以上，人员规模50人以上，通过ISO9001及ISO14001体系认证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2. 同类项目业绩（15分）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供应商自2023年1月1日以来（以合同签订时间为准）具有港口、码头类项目价值分析、可行性研究、投资咨询或同类咨询服务项目业绩：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6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评分标准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每提供1个符合要求的业绩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满分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15分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须提供合同（协议书）复印件，应能明确合同标的、合同签约方及其签章、生效时间等主要内容；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单个合同中包含港口/码头咨询内容的，按1个业绩计分；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同一业主单位的多个合同按多个业绩计分；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业绩时间以合同签订日期为准。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3. 履约评价（5分）</w:t>
      </w:r>
    </w:p>
    <w:p>
      <w:pPr>
        <w:spacing w:after="0" w:line="5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供应商提供的同类项目业绩中，取得客户出具的优秀/满意/良好等级评价证明的：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25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评分标准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每提供1份满意评价证明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满分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5分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4. 企业信誉与荣誉（5分）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26"/>
        <w:gridCol w:w="1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_GoBack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近三年</w:t>
            </w:r>
            <w:bookmarkEnd w:id="0"/>
            <w:r>
              <w:rPr>
                <w:rFonts w:ascii="仿宋" w:hAnsi="仿宋" w:eastAsia="仿宋"/>
                <w:sz w:val="28"/>
                <w:szCs w:val="28"/>
              </w:rPr>
              <w:t>获得省级及以上咨询成果奖项，每项得1分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最高2分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近三年</w:t>
            </w:r>
            <w:r>
              <w:rPr>
                <w:rFonts w:ascii="仿宋" w:hAnsi="仿宋" w:eastAsia="仿宋"/>
                <w:sz w:val="28"/>
                <w:szCs w:val="28"/>
              </w:rPr>
              <w:t>获得港口行业协会颁发的相关荣誉，每项得1分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最高2分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近三年获得税务部门A级纳税人评价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（三）技术部分（满分45分）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1. 项目理解与需求分析（10分）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762"/>
        <w:gridCol w:w="7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评分等级</w:t>
            </w:r>
          </w:p>
        </w:tc>
        <w:tc>
          <w:tcPr>
            <w:tcW w:w="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标准描述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一档</w:t>
            </w:r>
          </w:p>
        </w:tc>
        <w:tc>
          <w:tcPr>
            <w:tcW w:w="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对项目背景了解较浅，对采购人决策需求把握不够准确，对工作重点难点的分析较为粗略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二档</w:t>
            </w:r>
          </w:p>
        </w:tc>
        <w:tc>
          <w:tcPr>
            <w:tcW w:w="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6分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对项目背景有较充分了解，能基本把握采购人决策需求，对重点难点有合理分析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三档</w:t>
            </w:r>
          </w:p>
        </w:tc>
        <w:tc>
          <w:tcPr>
            <w:tcW w:w="7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对项目背景有深入理解（能结合沙田港具体情况进行精准分析），准确理解采购人业务决策需求，对项目技术难点（涉刑资产估值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、后续建设可行性</w:t>
            </w:r>
            <w:r>
              <w:rPr>
                <w:rFonts w:ascii="仿宋" w:hAnsi="仿宋" w:eastAsia="仿宋"/>
                <w:sz w:val="28"/>
                <w:szCs w:val="28"/>
              </w:rPr>
              <w:t>等）有清晰识别并提出有针对性的解决方案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2. 工作思路与技术路线（12分）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6"/>
        <w:gridCol w:w="762"/>
        <w:gridCol w:w="7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评分等级</w:t>
            </w:r>
          </w:p>
        </w:tc>
        <w:tc>
          <w:tcPr>
            <w:tcW w:w="7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标准描述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一档</w:t>
            </w:r>
          </w:p>
        </w:tc>
        <w:tc>
          <w:tcPr>
            <w:tcW w:w="7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工作思路基本可行，技术路线较为简单，估值方法适用性一般，对港口工程建设的分析深度不足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二档</w:t>
            </w:r>
          </w:p>
        </w:tc>
        <w:tc>
          <w:tcPr>
            <w:tcW w:w="7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8分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工作思路清晰合理，技术路线完整，估值模型设计科学，可行性研究分析框架完善，数据来源可靠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三档</w:t>
            </w:r>
          </w:p>
        </w:tc>
        <w:tc>
          <w:tcPr>
            <w:tcW w:w="7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12分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工作思路科学严谨，技术路线先进合理，估值模型设计专业且有针对性（能充分考虑涉刑资产折价因素），可行性研究分析框架系统全面，数据来源权威可靠，能结合平陆运河通航、海南封关等最新政策环境进行动态分析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3. 团队配置与人员资质（10分）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7"/>
        <w:gridCol w:w="2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项目负责人资质</w:t>
            </w:r>
            <w:r>
              <w:rPr>
                <w:rFonts w:ascii="仿宋" w:hAnsi="仿宋" w:eastAsia="仿宋"/>
                <w:sz w:val="28"/>
                <w:szCs w:val="28"/>
              </w:rPr>
              <w:t>（3分）：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具有港口与航道工程专业高级工程师职称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具有咨询工程师（投资）职业资格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具有10年以上港口工程咨询工作经验（以资格证或业绩证明文件为准）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项目团队构成</w:t>
            </w:r>
            <w:r>
              <w:rPr>
                <w:rFonts w:ascii="仿宋" w:hAnsi="仿宋" w:eastAsia="仿宋"/>
                <w:sz w:val="28"/>
                <w:szCs w:val="28"/>
              </w:rPr>
              <w:t>（4分）：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团队配置包含港口规划、经济财务、法律风险等专业方向人员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2分（缺1个专业扣1分）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团队成员中有高级职称人员2人及以上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团队成员中具有注册咨询工程师（投资）2人及以上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港口工程专业软件能力</w:t>
            </w:r>
            <w:r>
              <w:rPr>
                <w:rFonts w:ascii="仿宋" w:hAnsi="仿宋" w:eastAsia="仿宋"/>
                <w:sz w:val="28"/>
                <w:szCs w:val="28"/>
              </w:rPr>
              <w:t>（3分）：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具有港口工程仿真、物流模拟等专业软件使用能力，并能提供已实施项目中使用上述软件的佐证材料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具有上述能力但佐证材料不充分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不具备或未提供佐证材料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0分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注：以上人员须提供近三个月社保缴纳证明，未能提供的对应项</w:t>
      </w:r>
      <w:r>
        <w:rPr>
          <w:rFonts w:hint="eastAsia" w:ascii="仿宋" w:hAnsi="仿宋" w:eastAsia="仿宋"/>
          <w:sz w:val="28"/>
          <w:szCs w:val="28"/>
        </w:rPr>
        <w:t>不得分。</w:t>
      </w:r>
    </w:p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4. 工作进度计划及保障措施（5分）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6"/>
        <w:gridCol w:w="859"/>
        <w:gridCol w:w="7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评分等级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标准描述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一档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有基本的进度安排，但节点不够清晰，保障措施较为笼统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二档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进度计划按阶段编制，节点明确，保障措施基本合理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三档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5分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进度计划按工作日细化到具体活动，节点清晰且预留了采购人审核反馈时间，保障措施具体有力（如有备用团队、并行工作安排等），有明确的质量进度违约责任承诺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5. 质量保障及保密措施（4分）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2"/>
        <w:gridCol w:w="890"/>
        <w:gridCol w:w="7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评分等级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标准描述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一档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有基本质量管理措施，保密承诺较笼统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二档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有较完善的内部审核流程，有明确的保密管理措施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三档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有完善的三级审核机制，具有ISO9001质量管理体系认证，有详细的保密管理方案且可操作性强，员工均已签署保密协议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6. 风险识别针对性（4分）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8"/>
        <w:gridCol w:w="762"/>
        <w:gridCol w:w="7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评分等级</w:t>
            </w:r>
          </w:p>
        </w:tc>
        <w:tc>
          <w:tcPr>
            <w:tcW w:w="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标准描述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一档</w:t>
            </w:r>
          </w:p>
        </w:tc>
        <w:tc>
          <w:tcPr>
            <w:tcW w:w="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对沙田港项目风险有基本认知，但深度不足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二档</w:t>
            </w:r>
          </w:p>
        </w:tc>
        <w:tc>
          <w:tcPr>
            <w:tcW w:w="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能识别项目主要风险点，有一定针对性分析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三档</w:t>
            </w:r>
          </w:p>
        </w:tc>
        <w:tc>
          <w:tcPr>
            <w:tcW w:w="5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能系统识别沙田港项目的各类风险（法律权属类：涉黑资产处置、62家农合机构联合持有、未过户等；工程类：停建多年后质量状况、海域岸线审批瑕疵等；市场类：港口竞争、平陆运河影响等），并能结合采购人作为不良资产收购方的视角进行专业分析，提出有针对性的风险应对建议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四、总分汇总</w:t>
      </w:r>
    </w:p>
    <w:tbl>
      <w:tblPr>
        <w:tblStyle w:val="13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14"/>
        <w:gridCol w:w="4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评分维度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报价部分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商务部分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技术部分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100分</w:t>
            </w:r>
          </w:p>
        </w:tc>
      </w:tr>
    </w:tbl>
    <w:p>
      <w:pPr>
        <w:spacing w:after="0" w:line="560" w:lineRule="exact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五、成交供应商确定</w:t>
      </w:r>
    </w:p>
    <w:p>
      <w:pPr>
        <w:numPr>
          <w:ilvl w:val="0"/>
          <w:numId w:val="2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评审小组按照综合得分由高到低的顺序推荐3名成交候选人；</w:t>
      </w:r>
    </w:p>
    <w:p>
      <w:pPr>
        <w:numPr>
          <w:ilvl w:val="0"/>
          <w:numId w:val="2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若得分相同，以技术得分高者优先；若技术得分仍相同，以报价得分高者优先；</w:t>
      </w:r>
    </w:p>
    <w:p>
      <w:pPr>
        <w:numPr>
          <w:ilvl w:val="0"/>
          <w:numId w:val="2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最终成交供应商由采购人根据评审结果按内部审批程序确定；</w:t>
      </w:r>
    </w:p>
    <w:p>
      <w:pPr>
        <w:numPr>
          <w:ilvl w:val="0"/>
          <w:numId w:val="2"/>
        </w:numPr>
        <w:spacing w:after="0"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采购人保留在合同签署前任何时间终止采购的权利。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32105"/>
    <w:multiLevelType w:val="multilevel"/>
    <w:tmpl w:val="3223210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AB60F9"/>
    <w:multiLevelType w:val="multilevel"/>
    <w:tmpl w:val="3AAB60F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6C"/>
    <w:rsid w:val="000B3C51"/>
    <w:rsid w:val="000C7A88"/>
    <w:rsid w:val="001052A5"/>
    <w:rsid w:val="00112A32"/>
    <w:rsid w:val="001261FB"/>
    <w:rsid w:val="001355FE"/>
    <w:rsid w:val="00187269"/>
    <w:rsid w:val="001C5C06"/>
    <w:rsid w:val="002A66E5"/>
    <w:rsid w:val="002B4FCC"/>
    <w:rsid w:val="00422378"/>
    <w:rsid w:val="004473B3"/>
    <w:rsid w:val="00495FE2"/>
    <w:rsid w:val="004C5898"/>
    <w:rsid w:val="004C705B"/>
    <w:rsid w:val="004E341F"/>
    <w:rsid w:val="00542574"/>
    <w:rsid w:val="00614DE8"/>
    <w:rsid w:val="006261F2"/>
    <w:rsid w:val="00663B7A"/>
    <w:rsid w:val="006856F4"/>
    <w:rsid w:val="007A5C69"/>
    <w:rsid w:val="007E4CEA"/>
    <w:rsid w:val="008A4A6F"/>
    <w:rsid w:val="008C47F8"/>
    <w:rsid w:val="008E57D4"/>
    <w:rsid w:val="008F374D"/>
    <w:rsid w:val="00922DE2"/>
    <w:rsid w:val="00945FA5"/>
    <w:rsid w:val="00996976"/>
    <w:rsid w:val="009E6D87"/>
    <w:rsid w:val="009F7FC3"/>
    <w:rsid w:val="00A3436C"/>
    <w:rsid w:val="00A37D2A"/>
    <w:rsid w:val="00A75A50"/>
    <w:rsid w:val="00A8087C"/>
    <w:rsid w:val="00AA3ED3"/>
    <w:rsid w:val="00AE623E"/>
    <w:rsid w:val="00AF76DE"/>
    <w:rsid w:val="00BD54C3"/>
    <w:rsid w:val="00BE5180"/>
    <w:rsid w:val="00C04FB0"/>
    <w:rsid w:val="00C64DE2"/>
    <w:rsid w:val="00C916F0"/>
    <w:rsid w:val="00CB17B6"/>
    <w:rsid w:val="00CF0DF7"/>
    <w:rsid w:val="00D101AB"/>
    <w:rsid w:val="00D77EB7"/>
    <w:rsid w:val="00DD1327"/>
    <w:rsid w:val="00DF3AFE"/>
    <w:rsid w:val="00E52F1A"/>
    <w:rsid w:val="00E74499"/>
    <w:rsid w:val="00EC4F89"/>
    <w:rsid w:val="16F234AA"/>
    <w:rsid w:val="474D0667"/>
    <w:rsid w:val="662A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1547</Words>
  <Characters>1594</Characters>
  <Lines>177</Lines>
  <Paragraphs>209</Paragraphs>
  <TotalTime>14</TotalTime>
  <ScaleCrop>false</ScaleCrop>
  <LinksUpToDate>false</LinksUpToDate>
  <CharactersWithSpaces>2932</CharactersWithSpaces>
  <Application>WPS Office_11.8.0.16981_F1E327BC-269C-435d-A152-05C5408002CA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2026-08-19T01:41:00Z</dcterms:created>
  <dc:creator>Z O</dc:creator>
  <cp:lastModifiedBy>程磊</cp:lastModifiedBy>
  <dcterms:modified xsi:type="dcterms:W3CDTF">2026-08-21T06:56:43Z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2052-11.8.0.16981</vt:lpwstr>
  </property>
  <property fmtid="{D5CDD505-2E9C-101B-9397-08002B2CF9AE}" pid="3" name="ICV">
    <vt:lpwstr>971CDD10F8B640E2A36B372D8E0A457C</vt:lpwstr>
  </property>
</Properties>
</file>