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6D63CE">
      <w:pPr>
        <w:widowControl/>
        <w:spacing w:line="500" w:lineRule="atLeast"/>
        <w:jc w:val="center"/>
        <w:rPr>
          <w:rFonts w:hint="eastAsia" w:ascii="方正小标宋_GBK" w:hAnsi="方正小标宋_GBK" w:eastAsia="方正小标宋_GBK" w:cs="方正小标宋_GBK"/>
          <w:b/>
          <w:bCs/>
          <w:color w:val="666666"/>
          <w:kern w:val="0"/>
          <w:sz w:val="36"/>
        </w:rPr>
      </w:pPr>
      <w:r>
        <w:rPr>
          <w:rFonts w:hint="eastAsia" w:ascii="方正小标宋_GBK" w:hAnsi="方正小标宋_GBK" w:eastAsia="方正小标宋_GBK" w:cs="方正小标宋_GBK"/>
          <w:b/>
          <w:bCs/>
          <w:color w:val="666666"/>
          <w:kern w:val="0"/>
          <w:sz w:val="36"/>
        </w:rPr>
        <w:t>竞 买 须 知</w:t>
      </w:r>
    </w:p>
    <w:p w14:paraId="3F135F7F">
      <w:pPr>
        <w:pStyle w:val="3"/>
      </w:pPr>
    </w:p>
    <w:p w14:paraId="2117CBBD">
      <w:pPr>
        <w:keepNext w:val="0"/>
        <w:keepLines w:val="0"/>
        <w:pageBreakBefore w:val="0"/>
        <w:widowControl/>
        <w:kinsoku/>
        <w:wordWrap w:val="0"/>
        <w:overflowPunct/>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bCs w:val="0"/>
          <w:kern w:val="2"/>
          <w:sz w:val="32"/>
          <w:szCs w:val="32"/>
          <w:u w:val="none"/>
          <w:lang w:val="en-US" w:eastAsia="zh-CN"/>
        </w:rPr>
        <w:t>中国中信金融资产管理股份有限公司贵州省分公司（以下简称：“中信金资贵州分公司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kern w:val="2"/>
          <w:sz w:val="32"/>
          <w:szCs w:val="32"/>
        </w:rPr>
        <w:t>定于</w:t>
      </w:r>
      <w:r>
        <w:rPr>
          <w:rFonts w:hint="eastAsia" w:ascii="仿宋_GB2312" w:hAnsi="仿宋_GB2312" w:eastAsia="仿宋_GB2312" w:cs="仿宋_GB2312"/>
          <w:bCs w:val="0"/>
          <w:color w:val="auto"/>
          <w:kern w:val="2"/>
          <w:sz w:val="32"/>
          <w:szCs w:val="32"/>
          <w:highlight w:val="none"/>
          <w:lang w:val="en-US" w:eastAsia="zh-CN"/>
        </w:rPr>
        <w:t>2026</w:t>
      </w:r>
      <w:r>
        <w:rPr>
          <w:rFonts w:hint="eastAsia" w:ascii="仿宋_GB2312" w:hAnsi="仿宋_GB2312" w:eastAsia="仿宋_GB2312" w:cs="仿宋_GB2312"/>
          <w:bCs w:val="0"/>
          <w:color w:val="auto"/>
          <w:kern w:val="2"/>
          <w:sz w:val="32"/>
          <w:szCs w:val="32"/>
          <w:highlight w:val="none"/>
        </w:rPr>
        <w:t>年</w:t>
      </w:r>
      <w:r>
        <w:rPr>
          <w:rFonts w:hint="eastAsia" w:ascii="仿宋_GB2312" w:hAnsi="仿宋_GB2312" w:eastAsia="仿宋_GB2312" w:cs="仿宋_GB2312"/>
          <w:bCs w:val="0"/>
          <w:color w:val="auto"/>
          <w:kern w:val="2"/>
          <w:sz w:val="32"/>
          <w:szCs w:val="32"/>
          <w:highlight w:val="none"/>
          <w:lang w:val="en-US" w:eastAsia="zh-CN"/>
        </w:rPr>
        <w:t>5</w:t>
      </w:r>
      <w:r>
        <w:rPr>
          <w:rFonts w:hint="eastAsia" w:ascii="仿宋_GB2312" w:hAnsi="仿宋_GB2312" w:eastAsia="仿宋_GB2312" w:cs="仿宋_GB2312"/>
          <w:bCs w:val="0"/>
          <w:color w:val="auto"/>
          <w:kern w:val="2"/>
          <w:sz w:val="32"/>
          <w:szCs w:val="32"/>
          <w:highlight w:val="none"/>
        </w:rPr>
        <w:t>月</w:t>
      </w:r>
      <w:r>
        <w:rPr>
          <w:rFonts w:hint="eastAsia" w:ascii="仿宋_GB2312" w:hAnsi="仿宋_GB2312" w:eastAsia="仿宋_GB2312" w:cs="仿宋_GB2312"/>
          <w:bCs w:val="0"/>
          <w:color w:val="auto"/>
          <w:kern w:val="2"/>
          <w:sz w:val="32"/>
          <w:szCs w:val="32"/>
          <w:highlight w:val="none"/>
          <w:lang w:val="en-US" w:eastAsia="zh-CN"/>
        </w:rPr>
        <w:t xml:space="preserve"> 26</w:t>
      </w:r>
      <w:r>
        <w:rPr>
          <w:rFonts w:hint="eastAsia" w:ascii="仿宋_GB2312" w:hAnsi="仿宋_GB2312" w:eastAsia="仿宋_GB2312" w:cs="仿宋_GB2312"/>
          <w:bCs w:val="0"/>
          <w:color w:val="auto"/>
          <w:kern w:val="2"/>
          <w:sz w:val="32"/>
          <w:szCs w:val="32"/>
          <w:highlight w:val="none"/>
        </w:rPr>
        <w:t>日</w:t>
      </w:r>
      <w:r>
        <w:rPr>
          <w:rFonts w:hint="eastAsia" w:ascii="仿宋_GB2312" w:hAnsi="仿宋_GB2312" w:eastAsia="仿宋_GB2312" w:cs="仿宋_GB2312"/>
          <w:bCs w:val="0"/>
          <w:kern w:val="2"/>
          <w:sz w:val="32"/>
          <w:szCs w:val="32"/>
          <w:highlight w:val="none"/>
          <w:lang w:eastAsia="zh-CN"/>
        </w:rPr>
        <w:t>1</w:t>
      </w:r>
      <w:r>
        <w:rPr>
          <w:rFonts w:hint="eastAsia" w:ascii="仿宋_GB2312" w:hAnsi="仿宋_GB2312" w:eastAsia="仿宋_GB2312" w:cs="仿宋_GB2312"/>
          <w:bCs w:val="0"/>
          <w:kern w:val="2"/>
          <w:sz w:val="32"/>
          <w:szCs w:val="32"/>
          <w:highlight w:val="none"/>
          <w:lang w:val="en-US" w:eastAsia="zh-CN"/>
        </w:rPr>
        <w:t>0</w:t>
      </w:r>
      <w:r>
        <w:rPr>
          <w:rFonts w:hint="eastAsia" w:ascii="仿宋_GB2312" w:hAnsi="仿宋_GB2312" w:eastAsia="仿宋_GB2312" w:cs="仿宋_GB2312"/>
          <w:bCs w:val="0"/>
          <w:color w:val="auto"/>
          <w:kern w:val="2"/>
          <w:sz w:val="32"/>
          <w:szCs w:val="32"/>
          <w:highlight w:val="none"/>
        </w:rPr>
        <w:t>时起至</w:t>
      </w:r>
      <w:r>
        <w:rPr>
          <w:rFonts w:hint="eastAsia" w:ascii="仿宋_GB2312" w:hAnsi="仿宋_GB2312" w:eastAsia="仿宋_GB2312" w:cs="仿宋_GB2312"/>
          <w:bCs w:val="0"/>
          <w:color w:val="auto"/>
          <w:kern w:val="2"/>
          <w:sz w:val="32"/>
          <w:szCs w:val="32"/>
          <w:highlight w:val="none"/>
          <w:lang w:val="en-US" w:eastAsia="zh-CN"/>
        </w:rPr>
        <w:t>2026</w:t>
      </w:r>
      <w:r>
        <w:rPr>
          <w:rFonts w:hint="eastAsia" w:ascii="仿宋_GB2312" w:hAnsi="仿宋_GB2312" w:eastAsia="仿宋_GB2312" w:cs="仿宋_GB2312"/>
          <w:bCs w:val="0"/>
          <w:color w:val="auto"/>
          <w:kern w:val="2"/>
          <w:sz w:val="32"/>
          <w:szCs w:val="32"/>
          <w:highlight w:val="none"/>
        </w:rPr>
        <w:t>年</w:t>
      </w:r>
      <w:r>
        <w:rPr>
          <w:rFonts w:hint="eastAsia" w:ascii="仿宋_GB2312" w:hAnsi="仿宋_GB2312" w:eastAsia="仿宋_GB2312" w:cs="仿宋_GB2312"/>
          <w:bCs w:val="0"/>
          <w:color w:val="auto"/>
          <w:kern w:val="2"/>
          <w:sz w:val="32"/>
          <w:szCs w:val="32"/>
          <w:highlight w:val="none"/>
          <w:lang w:val="en-US" w:eastAsia="zh-CN"/>
        </w:rPr>
        <w:t>5</w:t>
      </w:r>
      <w:r>
        <w:rPr>
          <w:rFonts w:hint="eastAsia" w:ascii="仿宋_GB2312" w:hAnsi="仿宋_GB2312" w:eastAsia="仿宋_GB2312" w:cs="仿宋_GB2312"/>
          <w:bCs w:val="0"/>
          <w:color w:val="auto"/>
          <w:kern w:val="2"/>
          <w:sz w:val="32"/>
          <w:szCs w:val="32"/>
          <w:highlight w:val="none"/>
        </w:rPr>
        <w:t>月</w:t>
      </w:r>
      <w:r>
        <w:rPr>
          <w:rFonts w:hint="eastAsia" w:ascii="仿宋_GB2312" w:hAnsi="仿宋_GB2312" w:eastAsia="仿宋_GB2312" w:cs="仿宋_GB2312"/>
          <w:bCs w:val="0"/>
          <w:color w:val="auto"/>
          <w:kern w:val="2"/>
          <w:sz w:val="32"/>
          <w:szCs w:val="32"/>
          <w:highlight w:val="none"/>
          <w:lang w:val="en-US" w:eastAsia="zh-CN"/>
        </w:rPr>
        <w:t>27</w:t>
      </w:r>
      <w:r>
        <w:rPr>
          <w:rFonts w:hint="eastAsia" w:ascii="仿宋_GB2312" w:hAnsi="仿宋_GB2312" w:eastAsia="仿宋_GB2312" w:cs="仿宋_GB2312"/>
          <w:bCs w:val="0"/>
          <w:color w:val="auto"/>
          <w:kern w:val="2"/>
          <w:sz w:val="32"/>
          <w:szCs w:val="32"/>
          <w:highlight w:val="none"/>
        </w:rPr>
        <w:t>日</w:t>
      </w:r>
      <w:r>
        <w:rPr>
          <w:rFonts w:hint="eastAsia" w:ascii="仿宋_GB2312" w:hAnsi="仿宋_GB2312" w:eastAsia="仿宋_GB2312" w:cs="仿宋_GB2312"/>
          <w:bCs w:val="0"/>
          <w:kern w:val="2"/>
          <w:sz w:val="32"/>
          <w:szCs w:val="32"/>
          <w:highlight w:val="none"/>
          <w:lang w:eastAsia="zh-CN"/>
        </w:rPr>
        <w:t>1</w:t>
      </w:r>
      <w:r>
        <w:rPr>
          <w:rFonts w:hint="eastAsia" w:ascii="仿宋_GB2312" w:hAnsi="仿宋_GB2312" w:eastAsia="仿宋_GB2312" w:cs="仿宋_GB2312"/>
          <w:bCs w:val="0"/>
          <w:kern w:val="2"/>
          <w:sz w:val="32"/>
          <w:szCs w:val="32"/>
          <w:highlight w:val="none"/>
          <w:lang w:val="en-US" w:eastAsia="zh-CN"/>
        </w:rPr>
        <w:t>0</w:t>
      </w:r>
      <w:r>
        <w:rPr>
          <w:rFonts w:hint="eastAsia" w:ascii="仿宋_GB2312" w:hAnsi="仿宋_GB2312" w:eastAsia="仿宋_GB2312" w:cs="仿宋_GB2312"/>
          <w:color w:val="auto"/>
          <w:kern w:val="2"/>
          <w:sz w:val="32"/>
          <w:szCs w:val="32"/>
          <w:highlight w:val="none"/>
        </w:rPr>
        <w:t>时止</w:t>
      </w:r>
      <w:r>
        <w:rPr>
          <w:rFonts w:hint="eastAsia" w:ascii="仿宋_GB2312" w:hAnsi="仿宋_GB2312" w:eastAsia="仿宋_GB2312" w:cs="仿宋_GB2312"/>
          <w:color w:val="auto"/>
          <w:kern w:val="2"/>
          <w:sz w:val="32"/>
          <w:szCs w:val="32"/>
        </w:rPr>
        <w:t>（延时除外）在</w:t>
      </w:r>
      <w:r>
        <w:rPr>
          <w:rFonts w:hint="eastAsia" w:ascii="仿宋_GB2312" w:hAnsi="仿宋_GB2312" w:eastAsia="仿宋_GB2312" w:cs="仿宋_GB2312"/>
          <w:bCs w:val="0"/>
          <w:kern w:val="2"/>
          <w:sz w:val="32"/>
          <w:szCs w:val="32"/>
          <w:u w:val="none"/>
          <w:lang w:val="en-US" w:eastAsia="zh-CN"/>
        </w:rPr>
        <w:t>京东资产拍卖平台</w:t>
      </w:r>
      <w:r>
        <w:rPr>
          <w:rFonts w:hint="eastAsia" w:ascii="仿宋_GB2312" w:hAnsi="仿宋_GB2312" w:eastAsia="仿宋_GB2312" w:cs="仿宋_GB2312"/>
          <w:i w:val="0"/>
          <w:iCs w:val="0"/>
          <w:caps w:val="0"/>
          <w:color w:val="000000"/>
          <w:spacing w:val="0"/>
          <w:sz w:val="32"/>
          <w:szCs w:val="32"/>
          <w:shd w:val="clear" w:fill="FFFFFF"/>
        </w:rPr>
        <w:t>（https://zcpm.jd.com）</w:t>
      </w:r>
      <w:r>
        <w:rPr>
          <w:rFonts w:hint="eastAsia" w:ascii="仿宋_GB2312" w:hAnsi="仿宋_GB2312" w:eastAsia="仿宋_GB2312" w:cs="仿宋_GB2312"/>
          <w:color w:val="auto"/>
          <w:kern w:val="2"/>
          <w:sz w:val="32"/>
          <w:szCs w:val="32"/>
        </w:rPr>
        <w:t>进行公开竞价活动，现就有关的网上竞价事宜敬告各位竞买人：</w:t>
      </w:r>
    </w:p>
    <w:p w14:paraId="437F23D9">
      <w:pPr>
        <w:keepNext w:val="0"/>
        <w:keepLines w:val="0"/>
        <w:pageBreakBefore w:val="0"/>
        <w:widowControl/>
        <w:kinsoku/>
        <w:wordWrap/>
        <w:overflowPunct/>
        <w:topLinePunct w:val="0"/>
        <w:autoSpaceDE/>
        <w:autoSpaceDN/>
        <w:bidi w:val="0"/>
        <w:adjustRightInd/>
        <w:snapToGrid/>
        <w:spacing w:line="240" w:lineRule="auto"/>
        <w:ind w:right="0" w:firstLine="480" w:firstLineChars="0"/>
        <w:jc w:val="left"/>
        <w:textAlignment w:val="auto"/>
        <w:rPr>
          <w:rFonts w:hint="eastAsia" w:ascii="仿宋_GB2312" w:hAnsi="仿宋_GB2312" w:eastAsia="仿宋_GB2312" w:cs="仿宋_GB2312"/>
          <w:b/>
          <w:bCs/>
          <w:color w:val="auto"/>
          <w:kern w:val="2"/>
          <w:sz w:val="32"/>
          <w:szCs w:val="32"/>
        </w:rPr>
      </w:pPr>
      <w:r>
        <w:rPr>
          <w:rFonts w:hint="eastAsia" w:ascii="仿宋_GB2312" w:hAnsi="仿宋_GB2312" w:eastAsia="仿宋_GB2312" w:cs="仿宋_GB2312"/>
          <w:b/>
          <w:bCs/>
          <w:color w:val="auto"/>
          <w:kern w:val="2"/>
          <w:sz w:val="32"/>
          <w:szCs w:val="32"/>
        </w:rPr>
        <w:t>各竞买</w:t>
      </w:r>
      <w:r>
        <w:rPr>
          <w:rFonts w:hint="eastAsia" w:ascii="仿宋_GB2312" w:hAnsi="仿宋_GB2312" w:eastAsia="仿宋_GB2312" w:cs="仿宋_GB2312"/>
          <w:b/>
          <w:bCs/>
          <w:color w:val="auto"/>
          <w:kern w:val="2"/>
          <w:sz w:val="32"/>
          <w:szCs w:val="32"/>
          <w:lang w:val="en-US" w:eastAsia="zh-CN"/>
        </w:rPr>
        <w:t>人</w:t>
      </w:r>
      <w:r>
        <w:rPr>
          <w:rFonts w:hint="eastAsia" w:ascii="仿宋_GB2312" w:hAnsi="仿宋_GB2312" w:eastAsia="仿宋_GB2312" w:cs="仿宋_GB2312"/>
          <w:b/>
          <w:bCs/>
          <w:color w:val="auto"/>
          <w:kern w:val="2"/>
          <w:sz w:val="32"/>
          <w:szCs w:val="32"/>
        </w:rPr>
        <w:t>在竞价前须详细阅读此《竞买须知》。竞买人应认真仔细阅读，了解本须知的全部内容。本次竞价活动遵循“公开、公平、公正、诚实守信”的原则，竞价活动具备法律效力。参加本次竞价活动的竞买人必须遵守本须知的各项条款，并对自己的行为承担法律责任。</w:t>
      </w:r>
    </w:p>
    <w:p w14:paraId="1A29426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baseline"/>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一、标的债权要素</w:t>
      </w:r>
    </w:p>
    <w:p w14:paraId="50635124">
      <w:pPr>
        <w:ind w:firstLine="640" w:firstLineChars="200"/>
        <w:rPr>
          <w:rFonts w:hint="eastAsia" w:ascii="仿宋_GB2312" w:eastAsia="仿宋_GB2312"/>
          <w:sz w:val="32"/>
          <w:szCs w:val="32"/>
          <w:lang w:val="en-US" w:eastAsia="zh-CN"/>
        </w:rPr>
      </w:pPr>
      <w:r>
        <w:rPr>
          <w:rFonts w:hint="eastAsia" w:ascii="楷体_GB2312" w:hAnsi="楷体_GB2312" w:eastAsia="楷体_GB2312" w:cs="楷体_GB2312"/>
          <w:sz w:val="32"/>
          <w:szCs w:val="32"/>
          <w:lang w:val="en-US" w:eastAsia="zh-CN"/>
        </w:rPr>
        <w:t>（一）贵州省福明置业有限公司债权一</w:t>
      </w:r>
    </w:p>
    <w:p w14:paraId="66EEAB6D">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截至2025年10月31日债权本金131,583,323.00元、重组收益305,366,396.27元、代垫费用27,040.00元。该债权已由贵州省高级人民法院于2018年6月29日作出的（2018）黔民初7号《民事判决书》予以确认，判决内容部分如下：“一、被告于本判决生效后十日内支付原告本金15500万元及至2016年6月20日的重组收益12,811,449.94元；自2016年6月21日后的重组收益以本金15500万元为基数,按21%/年的利率标准计算至全部款项清偿完毕之日止；二、原告在本判决第一项确定的债权范围内对被告提供的抵押财产(在建工程抵押登记证号:瓮建房字第2013000034号、国有土地使用权抵押证明书证号:他项(2013)006号，房屋他项权证号:瓮房他证雍阳镇字第015000717号）折价或者拍卖、变卖所得价款享有优先受偿权；三、原告在本判决第一项确定的债权范围内对被告郑榕提供的质押财产(出质登记编号:(qn05)股质登记设字(2014)第80号项下财产)，折价或者拍卖、变卖所得价款享有优先受偿权；四、郑榕、张平对本判决第一项所列债务承担连带清偿责任。”</w:t>
      </w:r>
    </w:p>
    <w:p w14:paraId="4B9C86DE">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自判决生效后至2025年10月31日，中信金资贵州分公司共收到执行法院发还的执行款现金金额12,505,960.22元；在司法拍卖程序中接受部分资产的以物抵债，对应抵偿金额为14,136,359.00元。上述现金及以物抵债资产不在本次资产转让范围内。</w:t>
      </w:r>
    </w:p>
    <w:p w14:paraId="212F7F2E">
      <w:pPr>
        <w:ind w:firstLine="640" w:firstLineChars="200"/>
        <w:rPr>
          <w:rFonts w:hint="eastAsia" w:ascii="仿宋_GB2312" w:eastAsia="仿宋_GB2312"/>
          <w:sz w:val="32"/>
          <w:szCs w:val="32"/>
          <w:lang w:val="en-US" w:eastAsia="zh-CN"/>
        </w:rPr>
      </w:pPr>
      <w:r>
        <w:rPr>
          <w:rFonts w:hint="eastAsia" w:ascii="楷体_GB2312" w:hAnsi="楷体_GB2312" w:eastAsia="楷体_GB2312" w:cs="楷体_GB2312"/>
          <w:sz w:val="32"/>
          <w:szCs w:val="32"/>
          <w:lang w:val="en-US" w:eastAsia="zh-CN"/>
        </w:rPr>
        <w:t>（二）贵州省福明置业有限公司债权二</w:t>
      </w:r>
    </w:p>
    <w:p w14:paraId="060C2A6D">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截至2025年10月31日债权本金54,997,768.40元、重组宽限补偿金123,943,212.08元、代垫费用43,600.00元。该债权已由贵州省高级人民法院于2018年6月29日作出的（2018）黔民初8号《民事判决书》予以确认，判决内容部分如下：“一、被告于本判决生效后十日内支付原告本金60,689,583.40元及截至2016年12月20日的重组宽限补偿金8,823,647.42元；自2016年12月21日后的重组宽限补偿金以本金60,689,583.40元为基数，按年利率22%的标准计算至全部款项清偿完毕之日止；二、原告在本判决第一项确定的债权范围内对被告提供的抵押财产(不动产登记证号:黔(2016)瓮安县不动产证明第0002210号，国有土地使用权登记证号:瓮国用他项(2015)押字第066号)，折价或者拍卖、变卖所得价款享有优先受偿权；三、郑榕对本判决第一项所列债务承担连带清偿责任，郑榕实际承担保证责任后，有权向被告追偿。”</w:t>
      </w:r>
    </w:p>
    <w:p w14:paraId="5F781A61">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自判决生效后至2025年10月31日，中信金资贵州分公司共收到执行法院发还的执行款现金金额1,600,000.00元；在司法拍卖程序中接受部分资产的以物抵债，对应抵偿金额为5,691,815.00元。上述现金及以物抵债资产不在本次资产转让范围内。</w:t>
      </w:r>
    </w:p>
    <w:p w14:paraId="301CB6B9">
      <w:pPr>
        <w:ind w:firstLine="640"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（三）抵质押登记情况</w:t>
      </w:r>
    </w:p>
    <w:p w14:paraId="4B7C26AA">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根据瓮安县自然资源局出具的不动产登记查询结果，抵押权人为中信金资贵州分公司的房屋及在建工程共323套（详见附件：不动产登记查询结果），上述房屋及在建工程位于贵州省黔南布依族苗族自治州瓮安县；抵押权人为中信金资贵州分公司的国有土地使用权共1宗，抵押面积21735.58平方米，该国有土地使用权位于贵州省黔南布依族苗族自治州瓮安县。</w:t>
      </w:r>
    </w:p>
    <w:p w14:paraId="1BCBEA30">
      <w:pPr>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2.根据瓮安县工商户行政管理局2014年12月11日出具的股权出质设立登记通知书，质权人为中信金资贵州分公司的贵州福明置业有限公司股权数额为5400万元/万股，出质人为郑榕。</w:t>
      </w:r>
    </w:p>
    <w:p w14:paraId="34232687">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备注：</w:t>
      </w:r>
    </w:p>
    <w:p w14:paraId="1FAE9769">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1.上述标的债权及从权利已获生效法律文书支持，本公告清单仅列示截至2025年10月31日的债权本金及利息等，债务人实际应支付的全部债务以债权相关协议、生效法律文书及法律法规所确定和执行现状为准。</w:t>
      </w:r>
    </w:p>
    <w:p w14:paraId="3ACC1500">
      <w:pPr>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2.上述债权金额及抵质押物仅为一般性描述，如有错漏，以债务人、抵质押人等原已签署的交易合同、抵质押权证/抵质押登记现状和生效法律文书、司法执行现状为准。不动产登记查询结果及股权出质设立登记通知书可在《竞价公告》附件查看。</w:t>
      </w:r>
    </w:p>
    <w:p w14:paraId="11A02548">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3</w:t>
      </w:r>
      <w:r>
        <w:rPr>
          <w:rFonts w:hint="default" w:ascii="仿宋_GB2312" w:eastAsia="仿宋_GB2312"/>
          <w:sz w:val="32"/>
          <w:szCs w:val="32"/>
          <w:lang w:val="en-US" w:eastAsia="zh-CN"/>
        </w:rPr>
        <w:t>.</w:t>
      </w:r>
      <w:r>
        <w:rPr>
          <w:rFonts w:hint="eastAsia" w:ascii="仿宋_GB2312" w:eastAsia="仿宋_GB2312"/>
          <w:sz w:val="32"/>
          <w:szCs w:val="32"/>
          <w:lang w:val="en-US" w:eastAsia="zh-CN"/>
        </w:rPr>
        <w:t>本次标的债权转让基准日为2025年10月31日。</w:t>
      </w:r>
    </w:p>
    <w:p w14:paraId="2B4B7DA7">
      <w:pPr>
        <w:keepNext w:val="0"/>
        <w:keepLines w:val="0"/>
        <w:pageBreakBefore w:val="0"/>
        <w:numPr>
          <w:ilvl w:val="0"/>
          <w:numId w:val="0"/>
        </w:numPr>
        <w:kinsoku/>
        <w:wordWrap/>
        <w:overflowPunct/>
        <w:topLinePunct w:val="0"/>
        <w:autoSpaceDE/>
        <w:autoSpaceDN/>
        <w:bidi w:val="0"/>
        <w:adjustRightInd/>
        <w:snapToGrid/>
        <w:spacing w:line="240" w:lineRule="auto"/>
        <w:ind w:leftChars="200"/>
        <w:textAlignment w:val="auto"/>
        <w:rPr>
          <w:rFonts w:hint="eastAsia" w:ascii="仿宋_GB2312" w:hAnsi="仿宋_GB2312" w:eastAsia="仿宋_GB2312" w:cs="仿宋_GB2312"/>
          <w:b/>
          <w:bCs/>
          <w:sz w:val="32"/>
          <w:szCs w:val="32"/>
          <w:lang w:val="en-US" w:eastAsia="zh-CN"/>
        </w:rPr>
      </w:pPr>
      <w:r>
        <w:rPr>
          <w:rFonts w:hint="eastAsia" w:ascii="黑体" w:hAnsi="黑体" w:eastAsia="黑体" w:cs="黑体"/>
          <w:b/>
          <w:bCs/>
          <w:sz w:val="32"/>
          <w:szCs w:val="32"/>
          <w:lang w:val="en-US" w:eastAsia="zh-CN"/>
        </w:rPr>
        <w:t>二、竞买人条件</w:t>
      </w:r>
    </w:p>
    <w:p w14:paraId="69836866">
      <w:pPr>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1、竞买人为具有完全民事行为能力和支付能力的法人、组织或自然人，具备良好的财务状况、支付能力及商业信誉，资金来源合法，可支付标的债权转让价款并能承担购买标的债权所带来的风险</w:t>
      </w:r>
      <w:r>
        <w:rPr>
          <w:rFonts w:hint="eastAsia" w:ascii="仿宋_GB2312" w:hAnsi="仿宋_GB2312" w:eastAsia="仿宋_GB2312" w:cs="仿宋_GB2312"/>
          <w:b/>
          <w:bCs/>
          <w:sz w:val="32"/>
          <w:szCs w:val="32"/>
          <w:lang w:val="en-US" w:eastAsia="zh-CN"/>
        </w:rPr>
        <w:t>（标的债权为现状转让，中信金资贵州分公司对标的债权不作任何预期收益承诺及瑕疵担保，竞买人自行对标的债权进行独立尽调及风险判断）</w:t>
      </w:r>
      <w:r>
        <w:rPr>
          <w:rFonts w:hint="eastAsia" w:ascii="仿宋_GB2312" w:hAnsi="仿宋_GB2312" w:eastAsia="仿宋_GB2312" w:cs="仿宋_GB2312"/>
          <w:b w:val="0"/>
          <w:bCs w:val="0"/>
          <w:sz w:val="32"/>
          <w:szCs w:val="32"/>
          <w:lang w:val="en-US" w:eastAsia="zh-CN"/>
        </w:rPr>
        <w:t>，且符合有关法律、行政法规或司法解释对竞买人资格或条件的相关规定。</w:t>
      </w:r>
      <w:r>
        <w:rPr>
          <w:rFonts w:hint="eastAsia" w:ascii="仿宋_GB2312" w:hAnsi="仿宋_GB2312" w:eastAsia="仿宋_GB2312" w:cs="仿宋_GB2312"/>
          <w:b/>
          <w:bCs/>
          <w:sz w:val="32"/>
          <w:szCs w:val="32"/>
          <w:lang w:val="en-US" w:eastAsia="zh-CN"/>
        </w:rPr>
        <w:t>以下人员或机构不得参与竞买：</w:t>
      </w:r>
      <w:r>
        <w:rPr>
          <w:rFonts w:hint="eastAsia" w:ascii="仿宋_GB2312" w:hAnsi="仿宋_GB2312" w:eastAsia="仿宋_GB2312" w:cs="仿宋_GB2312"/>
          <w:b w:val="0"/>
          <w:bCs w:val="0"/>
          <w:sz w:val="32"/>
          <w:szCs w:val="32"/>
          <w:lang w:val="en-US" w:eastAsia="zh-CN"/>
        </w:rPr>
        <w:t>国家公务员、金融资产管理公司工作人员；该项资产处置工作相关中介机构所属人员；债务人、担保人为自然人的，其本人及其直系亲属；债务企业的控股股东、实际控制人及其控股下属公司，担保企业及其控股下属公司，债务企业的其他关联企业；上述主体出资成立的法人机构或特殊目的实体；国家金融监督管理总局认定的其他不宜受让的主体。</w:t>
      </w:r>
    </w:p>
    <w:p w14:paraId="1A9BF8F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baseline"/>
        <w:rPr>
          <w:rFonts w:hint="eastAsia" w:ascii="仿宋_GB2312" w:hAnsi="Times New Roman" w:eastAsia="仿宋_GB2312" w:cs="Times New Roman"/>
          <w:b w:val="0"/>
          <w:bCs w:val="0"/>
          <w:sz w:val="32"/>
          <w:szCs w:val="32"/>
          <w:highlight w:val="none"/>
          <w:lang w:val="en-US" w:eastAsia="zh-CN"/>
        </w:rPr>
      </w:pPr>
      <w:r>
        <w:rPr>
          <w:rFonts w:hint="eastAsia" w:ascii="仿宋_GB2312" w:hAnsi="Times New Roman" w:eastAsia="仿宋_GB2312" w:cs="Times New Roman"/>
          <w:b w:val="0"/>
          <w:bCs w:val="0"/>
          <w:sz w:val="32"/>
          <w:szCs w:val="32"/>
          <w:highlight w:val="none"/>
          <w:lang w:val="en-US" w:eastAsia="zh-CN"/>
        </w:rPr>
        <w:t>2、竞买人竞拍成功后，需配合</w:t>
      </w:r>
      <w:r>
        <w:rPr>
          <w:rFonts w:hint="eastAsia" w:ascii="仿宋_GB2312" w:hAnsi="仿宋_GB2312" w:eastAsia="仿宋_GB2312" w:cs="仿宋_GB2312"/>
          <w:bCs w:val="0"/>
          <w:kern w:val="2"/>
          <w:sz w:val="32"/>
          <w:szCs w:val="32"/>
          <w:u w:val="none"/>
          <w:lang w:val="en-US" w:eastAsia="zh-CN"/>
        </w:rPr>
        <w:t>中信金资贵州分公司</w:t>
      </w:r>
      <w:r>
        <w:rPr>
          <w:rFonts w:hint="eastAsia" w:ascii="仿宋_GB2312" w:hAnsi="Times New Roman" w:eastAsia="仿宋_GB2312" w:cs="Times New Roman"/>
          <w:b w:val="0"/>
          <w:bCs w:val="0"/>
          <w:sz w:val="32"/>
          <w:szCs w:val="32"/>
          <w:highlight w:val="none"/>
          <w:lang w:val="en-US" w:eastAsia="zh-CN"/>
        </w:rPr>
        <w:t>进行资格审查、配合合规访谈事宜（买受人为国有企业的可不开展合规访谈），并签订不违反交易条件的相关承诺书及《债权转让协议》。</w:t>
      </w:r>
    </w:p>
    <w:p w14:paraId="1778B1D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baseline"/>
        <w:rPr>
          <w:rFonts w:hint="eastAsia"/>
          <w:lang w:val="en-US" w:eastAsia="zh-CN"/>
        </w:rPr>
      </w:pPr>
      <w:r>
        <w:rPr>
          <w:rFonts w:hint="eastAsia" w:ascii="仿宋_GB2312" w:hAnsi="Times New Roman" w:eastAsia="仿宋_GB2312" w:cs="Times New Roman"/>
          <w:b w:val="0"/>
          <w:bCs w:val="0"/>
          <w:sz w:val="32"/>
          <w:szCs w:val="32"/>
          <w:highlight w:val="none"/>
          <w:lang w:val="en-US" w:eastAsia="zh-CN"/>
        </w:rPr>
        <w:t>3、如有优先购买权人资格的请于竞拍前向</w:t>
      </w:r>
      <w:r>
        <w:rPr>
          <w:rFonts w:hint="eastAsia" w:ascii="仿宋_GB2312" w:hAnsi="仿宋_GB2312" w:eastAsia="仿宋_GB2312" w:cs="仿宋_GB2312"/>
          <w:bCs w:val="0"/>
          <w:kern w:val="2"/>
          <w:sz w:val="32"/>
          <w:szCs w:val="32"/>
          <w:u w:val="none"/>
          <w:lang w:val="en-US" w:eastAsia="zh-CN"/>
        </w:rPr>
        <w:t>中信金资贵州分公司</w:t>
      </w:r>
      <w:r>
        <w:rPr>
          <w:rFonts w:hint="eastAsia" w:ascii="仿宋_GB2312" w:hAnsi="Times New Roman" w:eastAsia="仿宋_GB2312" w:cs="Times New Roman"/>
          <w:b w:val="0"/>
          <w:bCs w:val="0"/>
          <w:sz w:val="32"/>
          <w:szCs w:val="32"/>
          <w:highlight w:val="none"/>
          <w:lang w:val="en-US" w:eastAsia="zh-CN"/>
        </w:rPr>
        <w:t>提交相关资料。</w:t>
      </w:r>
    </w:p>
    <w:p w14:paraId="3156339E">
      <w:pPr>
        <w:keepNext w:val="0"/>
        <w:keepLines w:val="0"/>
        <w:pageBreakBefore w:val="0"/>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4、</w:t>
      </w:r>
      <w:r>
        <w:rPr>
          <w:rFonts w:hint="eastAsia" w:ascii="仿宋_GB2312" w:hAnsi="Times New Roman" w:eastAsia="仿宋_GB2312" w:cs="Times New Roman"/>
          <w:b/>
          <w:bCs/>
          <w:sz w:val="32"/>
          <w:szCs w:val="32"/>
          <w:highlight w:val="none"/>
          <w:lang w:val="en-US" w:eastAsia="zh-CN"/>
        </w:rPr>
        <w:t>因不符合条件参加竞拍的，由竞买人自行承担相应的法律责任。</w:t>
      </w:r>
      <w:r>
        <w:rPr>
          <w:rFonts w:hint="eastAsia" w:ascii="仿宋_GB2312" w:hAnsi="微软雅黑" w:eastAsia="仿宋_GB2312" w:cs="仿宋_GB2312"/>
          <w:b/>
          <w:bCs/>
          <w:i w:val="0"/>
          <w:iCs w:val="0"/>
          <w:caps w:val="0"/>
          <w:color w:val="000000"/>
          <w:spacing w:val="0"/>
          <w:sz w:val="32"/>
          <w:szCs w:val="32"/>
          <w:highlight w:val="none"/>
          <w:shd w:val="clear" w:fill="FFFFFF"/>
          <w:vertAlign w:val="baseline"/>
          <w:lang w:val="en-US" w:eastAsia="zh-CN"/>
        </w:rPr>
        <w:t>意向竞买人一经报名成功，视为知悉且认可本竞买须知全部内容并受本须知约束承担相应法律责任，如竞价成功无条件与中信金资贵州分公司签订《债权转让协议》，《债权转让协议》样本如附件且不接受修改，双方具体权利义务依照最终签署的《债权转让协议》为准。</w:t>
      </w:r>
    </w:p>
    <w:p w14:paraId="0B9DAA88">
      <w:pPr>
        <w:keepNext w:val="0"/>
        <w:keepLines w:val="0"/>
        <w:pageBreakBefore w:val="0"/>
        <w:widowControl/>
        <w:numPr>
          <w:ilvl w:val="-1"/>
          <w:numId w:val="0"/>
        </w:numPr>
        <w:kinsoku/>
        <w:wordWrap/>
        <w:overflowPunct/>
        <w:topLinePunct w:val="0"/>
        <w:autoSpaceDE/>
        <w:autoSpaceDN/>
        <w:bidi w:val="0"/>
        <w:adjustRightInd/>
        <w:snapToGrid/>
        <w:spacing w:line="240" w:lineRule="auto"/>
        <w:ind w:right="0" w:rightChars="0" w:firstLine="643" w:firstLineChars="200"/>
        <w:jc w:val="left"/>
        <w:textAlignment w:val="auto"/>
        <w:outlineLvl w:val="9"/>
        <w:rPr>
          <w:rFonts w:hint="eastAsia" w:ascii="黑体" w:hAnsi="黑体" w:eastAsia="黑体" w:cs="黑体"/>
          <w:b/>
          <w:bCs/>
          <w:kern w:val="2"/>
          <w:sz w:val="32"/>
          <w:szCs w:val="32"/>
          <w:lang w:val="en-US" w:eastAsia="zh-CN" w:bidi="ar-SA"/>
        </w:rPr>
      </w:pPr>
      <w:r>
        <w:rPr>
          <w:rFonts w:hint="eastAsia" w:ascii="黑体" w:hAnsi="黑体" w:eastAsia="黑体" w:cs="黑体"/>
          <w:b/>
          <w:bCs/>
          <w:kern w:val="2"/>
          <w:sz w:val="32"/>
          <w:szCs w:val="32"/>
          <w:lang w:val="en-US" w:eastAsia="zh-CN" w:bidi="ar-SA"/>
        </w:rPr>
        <w:t>三、调查须知</w:t>
      </w:r>
    </w:p>
    <w:p w14:paraId="101C75BF">
      <w:pPr>
        <w:keepNext w:val="0"/>
        <w:keepLines w:val="0"/>
        <w:pageBreakBefore w:val="0"/>
        <w:widowControl/>
        <w:numPr>
          <w:ilvl w:val="-1"/>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default"/>
          <w:lang w:val="en-US" w:eastAsia="zh-CN"/>
        </w:rPr>
      </w:pPr>
      <w:r>
        <w:rPr>
          <w:rFonts w:hint="eastAsia" w:ascii="仿宋_GB2312" w:hAnsi="仿宋_GB2312" w:eastAsia="仿宋_GB2312" w:cs="仿宋_GB2312"/>
          <w:kern w:val="2"/>
          <w:sz w:val="32"/>
          <w:szCs w:val="32"/>
          <w:lang w:val="en-US" w:eastAsia="zh-CN" w:bidi="ar-SA"/>
        </w:rPr>
        <w:t>竞买人应自行对标的债权进行独立尽职调查。咨询时间与方式：自本公告发布之日起至</w:t>
      </w:r>
      <w:r>
        <w:rPr>
          <w:rFonts w:hint="eastAsia" w:ascii="仿宋_GB2312" w:hAnsi="仿宋_GB2312" w:eastAsia="仿宋_GB2312" w:cs="仿宋_GB2312"/>
          <w:kern w:val="2"/>
          <w:sz w:val="32"/>
          <w:szCs w:val="32"/>
          <w:highlight w:val="none"/>
          <w:lang w:val="en-US" w:eastAsia="zh-CN" w:bidi="ar-SA"/>
        </w:rPr>
        <w:t>2026年5月25日17时</w:t>
      </w:r>
      <w:r>
        <w:rPr>
          <w:rFonts w:hint="eastAsia" w:ascii="仿宋_GB2312" w:hAnsi="仿宋_GB2312" w:eastAsia="仿宋_GB2312" w:cs="仿宋_GB2312"/>
          <w:kern w:val="2"/>
          <w:sz w:val="32"/>
          <w:szCs w:val="32"/>
          <w:lang w:val="en-US" w:eastAsia="zh-CN" w:bidi="ar-SA"/>
        </w:rPr>
        <w:t>止接受咨询，请拨打咨询电话或直接来访</w:t>
      </w:r>
      <w:r>
        <w:rPr>
          <w:rFonts w:hint="eastAsia" w:ascii="仿宋_GB2312" w:hAnsi="仿宋_GB2312" w:eastAsia="仿宋_GB2312" w:cs="仿宋_GB2312"/>
          <w:bCs w:val="0"/>
          <w:kern w:val="2"/>
          <w:sz w:val="32"/>
          <w:szCs w:val="32"/>
          <w:u w:val="none"/>
          <w:lang w:val="en-US" w:eastAsia="zh-CN"/>
        </w:rPr>
        <w:t>中信金资贵州分公司</w:t>
      </w:r>
      <w:r>
        <w:rPr>
          <w:rFonts w:hint="eastAsia" w:ascii="仿宋_GB2312" w:hAnsi="仿宋_GB2312" w:eastAsia="仿宋_GB2312" w:cs="仿宋_GB2312"/>
          <w:kern w:val="2"/>
          <w:sz w:val="32"/>
          <w:szCs w:val="32"/>
          <w:lang w:val="en-US" w:eastAsia="zh-CN" w:bidi="ar-SA"/>
        </w:rPr>
        <w:t>现场咨询。</w:t>
      </w:r>
    </w:p>
    <w:p w14:paraId="6EBD7865">
      <w:pPr>
        <w:widowControl/>
        <w:numPr>
          <w:ilvl w:val="0"/>
          <w:numId w:val="0"/>
        </w:numPr>
        <w:spacing w:line="360" w:lineRule="auto"/>
        <w:ind w:right="106" w:rightChars="0" w:firstLine="643" w:firstLineChars="200"/>
        <w:rPr>
          <w:rFonts w:hint="eastAsia" w:ascii="黑体" w:hAnsi="黑体" w:eastAsia="黑体" w:cs="黑体"/>
          <w:b/>
          <w:bCs/>
          <w:kern w:val="2"/>
          <w:sz w:val="32"/>
          <w:szCs w:val="32"/>
          <w:lang w:val="en-US" w:eastAsia="zh-CN" w:bidi="ar-SA"/>
        </w:rPr>
      </w:pPr>
      <w:r>
        <w:rPr>
          <w:rFonts w:hint="eastAsia" w:ascii="黑体" w:hAnsi="黑体" w:eastAsia="黑体" w:cs="黑体"/>
          <w:b/>
          <w:bCs/>
          <w:kern w:val="2"/>
          <w:sz w:val="32"/>
          <w:szCs w:val="32"/>
          <w:lang w:val="en-US" w:eastAsia="zh-CN" w:bidi="ar-SA"/>
        </w:rPr>
        <w:t>四、报名与竞价保证金</w:t>
      </w:r>
    </w:p>
    <w:p w14:paraId="03ADBE80">
      <w:pPr>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竞买人在竞买前登录京东拍卖网报名并缴纳保证金100万元，公告期内均可报名。</w:t>
      </w:r>
      <w:bookmarkStart w:id="0" w:name="_GoBack"/>
      <w:bookmarkEnd w:id="0"/>
      <w:r>
        <w:rPr>
          <w:rFonts w:hint="eastAsia" w:ascii="仿宋_GB2312" w:hAnsi="仿宋_GB2312" w:eastAsia="仿宋_GB2312" w:cs="仿宋_GB2312"/>
          <w:b w:val="0"/>
          <w:bCs w:val="0"/>
          <w:sz w:val="32"/>
          <w:szCs w:val="32"/>
          <w:lang w:val="en-US" w:eastAsia="zh-CN"/>
        </w:rPr>
        <w:t>竞价成功后</w:t>
      </w:r>
      <w:r>
        <w:rPr>
          <w:rFonts w:hint="eastAsia" w:ascii="仿宋_GB2312" w:hAnsi="仿宋_GB2312" w:eastAsia="仿宋_GB2312" w:cs="仿宋_GB2312"/>
          <w:bCs w:val="0"/>
          <w:kern w:val="2"/>
          <w:sz w:val="32"/>
          <w:szCs w:val="32"/>
          <w:u w:val="none"/>
          <w:lang w:val="en-US" w:eastAsia="zh-CN"/>
        </w:rPr>
        <w:t>中信金资贵州分公司</w:t>
      </w:r>
      <w:r>
        <w:rPr>
          <w:rFonts w:hint="eastAsia" w:ascii="仿宋_GB2312" w:hAnsi="仿宋_GB2312" w:eastAsia="仿宋_GB2312" w:cs="仿宋_GB2312"/>
          <w:b w:val="0"/>
          <w:bCs w:val="0"/>
          <w:sz w:val="32"/>
          <w:szCs w:val="32"/>
          <w:lang w:val="en-US" w:eastAsia="zh-CN"/>
        </w:rPr>
        <w:t>对竞买人进行资格审查，资格审查通过的竞买人方能成交。</w:t>
      </w:r>
    </w:p>
    <w:p w14:paraId="7083E819">
      <w:pPr>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若竞买人竞价成功，保证金可冲抵成交价款，竞买人仅需将剩余成交价款在规定时间内划转至</w:t>
      </w:r>
      <w:r>
        <w:rPr>
          <w:rFonts w:hint="eastAsia" w:ascii="仿宋_GB2312" w:hAnsi="仿宋_GB2312" w:eastAsia="仿宋_GB2312" w:cs="仿宋_GB2312"/>
          <w:bCs w:val="0"/>
          <w:kern w:val="2"/>
          <w:sz w:val="32"/>
          <w:szCs w:val="32"/>
          <w:u w:val="none"/>
          <w:lang w:val="en-US" w:eastAsia="zh-CN"/>
        </w:rPr>
        <w:t>中信金资贵州分公司指定</w:t>
      </w:r>
      <w:r>
        <w:rPr>
          <w:rFonts w:hint="eastAsia" w:ascii="仿宋_GB2312" w:hAnsi="仿宋_GB2312" w:eastAsia="仿宋_GB2312" w:cs="仿宋_GB2312"/>
          <w:b w:val="0"/>
          <w:bCs w:val="0"/>
          <w:sz w:val="32"/>
          <w:szCs w:val="32"/>
          <w:lang w:val="en-US" w:eastAsia="zh-CN"/>
        </w:rPr>
        <w:t>账户；若竞买人竞价失败，则将保证金原路无息退回。</w:t>
      </w:r>
    </w:p>
    <w:p w14:paraId="5CC989FE">
      <w:pPr>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五、竞价时间及竞价规则</w:t>
      </w:r>
    </w:p>
    <w:p w14:paraId="57ACF2C1">
      <w:pPr>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highlight w:val="none"/>
          <w:lang w:val="en-US" w:eastAsia="zh-CN"/>
        </w:rPr>
        <w:t>2026年5月26日10时起至2026年5月27日10时止</w:t>
      </w:r>
      <w:r>
        <w:rPr>
          <w:rFonts w:hint="eastAsia" w:ascii="仿宋_GB2312" w:hAnsi="仿宋_GB2312" w:eastAsia="仿宋_GB2312" w:cs="仿宋_GB2312"/>
          <w:b w:val="0"/>
          <w:bCs w:val="0"/>
          <w:sz w:val="32"/>
          <w:szCs w:val="32"/>
          <w:lang w:val="en-US" w:eastAsia="zh-CN"/>
        </w:rPr>
        <w:t>（届时正式竞价开始时间以京东网网络电子竞价系统时间为准），具体规则如下：</w:t>
      </w:r>
    </w:p>
    <w:p w14:paraId="50F57705">
      <w:pPr>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（1）本次拍卖设置起拍价，竞买人从起拍价开始以递增出价方式竞价，每次加价幅度为1万元。</w:t>
      </w:r>
    </w:p>
    <w:p w14:paraId="384D4574">
      <w:pPr>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（2）只有一个符合条件的意向竞买人竞价时，在竞价结束后需按照公告程序补登公告，公告3个工作日后如确定没有新的竞价者参加竞价才能成交。</w:t>
      </w:r>
    </w:p>
    <w:p w14:paraId="47B07D92">
      <w:pPr>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（3）公告报名期间无人报名、报名失败或竞价期间无人出价的，视为竞价失败。</w:t>
      </w:r>
    </w:p>
    <w:p w14:paraId="601B7A11">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六、签约及付款期限</w:t>
      </w:r>
    </w:p>
    <w:p w14:paraId="45E78290">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Calibri" w:eastAsia="仿宋_GB2312" w:cs="黑体"/>
          <w:kern w:val="2"/>
          <w:sz w:val="32"/>
          <w:szCs w:val="32"/>
          <w:highlight w:val="none"/>
          <w:shd w:val="clear" w:color="auto" w:fill="auto"/>
          <w:lang w:val="en-US" w:eastAsia="zh-CN" w:bidi="ar-SA"/>
        </w:rPr>
      </w:pPr>
      <w:r>
        <w:rPr>
          <w:rFonts w:hint="eastAsia" w:ascii="仿宋_GB2312" w:hAnsi="Calibri" w:eastAsia="仿宋_GB2312" w:cs="黑体"/>
          <w:kern w:val="2"/>
          <w:sz w:val="32"/>
          <w:szCs w:val="32"/>
          <w:highlight w:val="none"/>
          <w:shd w:val="clear" w:color="auto" w:fill="auto"/>
          <w:lang w:val="en-US" w:eastAsia="zh-CN" w:bidi="ar-SA"/>
        </w:rPr>
        <w:t>线上竞</w:t>
      </w:r>
      <w:r>
        <w:rPr>
          <w:rFonts w:hint="eastAsia" w:ascii="仿宋_GB2312" w:eastAsia="仿宋_GB2312" w:cs="黑体"/>
          <w:kern w:val="2"/>
          <w:sz w:val="32"/>
          <w:szCs w:val="32"/>
          <w:highlight w:val="none"/>
          <w:shd w:val="clear" w:color="auto" w:fill="auto"/>
          <w:lang w:val="en-US" w:eastAsia="zh-CN" w:bidi="ar-SA"/>
        </w:rPr>
        <w:t>拍</w:t>
      </w:r>
      <w:r>
        <w:rPr>
          <w:rFonts w:hint="eastAsia" w:ascii="仿宋_GB2312" w:hAnsi="Calibri" w:eastAsia="仿宋_GB2312" w:cs="黑体"/>
          <w:kern w:val="2"/>
          <w:sz w:val="32"/>
          <w:szCs w:val="32"/>
          <w:highlight w:val="none"/>
          <w:shd w:val="clear" w:color="auto" w:fill="auto"/>
          <w:lang w:val="en-US" w:eastAsia="zh-CN" w:bidi="ar-SA"/>
        </w:rPr>
        <w:t>成功后由</w:t>
      </w:r>
      <w:r>
        <w:rPr>
          <w:rFonts w:hint="eastAsia" w:ascii="仿宋_GB2312" w:eastAsia="仿宋_GB2312"/>
          <w:sz w:val="32"/>
          <w:szCs w:val="32"/>
          <w:lang w:val="en-US" w:eastAsia="zh-CN"/>
        </w:rPr>
        <w:t>中信金资贵州分公司</w:t>
      </w:r>
      <w:r>
        <w:rPr>
          <w:rFonts w:hint="eastAsia" w:ascii="仿宋_GB2312" w:hAnsi="Calibri" w:eastAsia="仿宋_GB2312" w:cs="黑体"/>
          <w:kern w:val="2"/>
          <w:sz w:val="32"/>
          <w:szCs w:val="32"/>
          <w:highlight w:val="none"/>
          <w:shd w:val="clear" w:color="auto" w:fill="auto"/>
          <w:lang w:val="en-US" w:eastAsia="zh-CN" w:bidi="ar-SA"/>
        </w:rPr>
        <w:t>对</w:t>
      </w:r>
      <w:r>
        <w:rPr>
          <w:rFonts w:hint="eastAsia" w:ascii="仿宋_GB2312" w:hAnsi="仿宋_GB2312" w:eastAsia="仿宋_GB2312" w:cs="仿宋_GB2312"/>
          <w:kern w:val="2"/>
          <w:sz w:val="32"/>
          <w:szCs w:val="32"/>
          <w:highlight w:val="none"/>
          <w:lang w:val="en-US" w:eastAsia="zh-CN" w:bidi="ar-SA"/>
        </w:rPr>
        <w:t>竞买人</w:t>
      </w:r>
      <w:r>
        <w:rPr>
          <w:rFonts w:hint="eastAsia" w:ascii="仿宋_GB2312" w:hAnsi="Calibri" w:eastAsia="仿宋_GB2312" w:cs="黑体"/>
          <w:kern w:val="2"/>
          <w:sz w:val="32"/>
          <w:szCs w:val="32"/>
          <w:highlight w:val="none"/>
          <w:shd w:val="clear" w:color="auto" w:fill="auto"/>
          <w:lang w:val="en-US" w:eastAsia="zh-CN" w:bidi="ar-SA"/>
        </w:rPr>
        <w:t>进行资格审查</w:t>
      </w:r>
      <w:r>
        <w:rPr>
          <w:rFonts w:hint="eastAsia" w:ascii="仿宋_GB2312" w:eastAsia="仿宋_GB2312" w:cs="黑体"/>
          <w:kern w:val="2"/>
          <w:sz w:val="32"/>
          <w:szCs w:val="32"/>
          <w:highlight w:val="none"/>
          <w:shd w:val="clear" w:color="auto" w:fill="auto"/>
          <w:lang w:val="en-US" w:eastAsia="zh-CN" w:bidi="ar-SA"/>
        </w:rPr>
        <w:t>，完成资格审查的</w:t>
      </w:r>
      <w:r>
        <w:rPr>
          <w:rFonts w:hint="eastAsia" w:ascii="仿宋_GB2312" w:hAnsi="仿宋_GB2312" w:eastAsia="仿宋_GB2312" w:cs="仿宋_GB2312"/>
          <w:kern w:val="2"/>
          <w:sz w:val="32"/>
          <w:szCs w:val="32"/>
          <w:highlight w:val="none"/>
          <w:lang w:val="en-US" w:eastAsia="zh-CN" w:bidi="ar-SA"/>
        </w:rPr>
        <w:t>竞买人（竞买人本人，或者竞买人的法定代表人、实际控制人或授权代理人）</w:t>
      </w:r>
      <w:r>
        <w:rPr>
          <w:rFonts w:hint="eastAsia" w:ascii="仿宋_GB2312" w:hAnsi="Calibri" w:eastAsia="仿宋_GB2312" w:cs="黑体"/>
          <w:kern w:val="2"/>
          <w:sz w:val="32"/>
          <w:szCs w:val="32"/>
          <w:highlight w:val="none"/>
          <w:shd w:val="clear" w:color="auto" w:fill="auto"/>
          <w:lang w:val="en-US" w:eastAsia="zh-CN" w:bidi="ar-SA"/>
        </w:rPr>
        <w:t>须</w:t>
      </w:r>
      <w:r>
        <w:rPr>
          <w:rFonts w:hint="eastAsia" w:ascii="仿宋_GB2312" w:eastAsia="仿宋_GB2312" w:cs="黑体"/>
          <w:kern w:val="2"/>
          <w:sz w:val="32"/>
          <w:szCs w:val="32"/>
          <w:highlight w:val="none"/>
          <w:shd w:val="clear" w:color="auto" w:fill="auto"/>
          <w:lang w:val="en-US" w:eastAsia="zh-CN" w:bidi="ar-SA"/>
        </w:rPr>
        <w:t>在7</w:t>
      </w:r>
      <w:r>
        <w:rPr>
          <w:rFonts w:hint="eastAsia" w:ascii="仿宋_GB2312" w:hAnsi="Calibri" w:eastAsia="仿宋_GB2312" w:cs="黑体"/>
          <w:kern w:val="2"/>
          <w:sz w:val="32"/>
          <w:szCs w:val="32"/>
          <w:highlight w:val="none"/>
          <w:shd w:val="clear" w:color="auto" w:fill="auto"/>
          <w:lang w:val="en-US" w:eastAsia="zh-CN" w:bidi="ar-SA"/>
        </w:rPr>
        <w:t>个工作日内</w:t>
      </w:r>
      <w:r>
        <w:rPr>
          <w:rFonts w:hint="eastAsia" w:ascii="仿宋_GB2312" w:hAnsi="仿宋_GB2312" w:eastAsia="仿宋_GB2312" w:cs="仿宋_GB2312"/>
          <w:kern w:val="2"/>
          <w:sz w:val="32"/>
          <w:szCs w:val="32"/>
          <w:highlight w:val="none"/>
          <w:lang w:val="en-US" w:eastAsia="zh-CN" w:bidi="ar-SA"/>
        </w:rPr>
        <w:t>凭京东拍卖网出具的《成交确认书》及身份证明材料到</w:t>
      </w:r>
      <w:r>
        <w:rPr>
          <w:rFonts w:hint="eastAsia" w:ascii="仿宋_GB2312" w:hAnsi="仿宋_GB2312" w:eastAsia="仿宋_GB2312" w:cs="仿宋_GB2312"/>
          <w:bCs w:val="0"/>
          <w:kern w:val="2"/>
          <w:sz w:val="32"/>
          <w:szCs w:val="32"/>
          <w:u w:val="none"/>
          <w:lang w:val="en-US" w:eastAsia="zh-CN"/>
        </w:rPr>
        <w:t>中信金资贵州分公司</w:t>
      </w:r>
      <w:r>
        <w:rPr>
          <w:rFonts w:hint="eastAsia" w:ascii="仿宋_GB2312" w:hAnsi="仿宋_GB2312" w:eastAsia="仿宋_GB2312" w:cs="仿宋_GB2312"/>
          <w:kern w:val="2"/>
          <w:sz w:val="32"/>
          <w:szCs w:val="32"/>
          <w:highlight w:val="none"/>
          <w:lang w:val="en-US" w:eastAsia="zh-CN" w:bidi="ar-SA"/>
        </w:rPr>
        <w:t>配合开展线下合规访谈（国有企业可不开展）、签订《成交确认书》及《债权转让协议》。</w:t>
      </w:r>
      <w:r>
        <w:rPr>
          <w:rFonts w:hint="eastAsia" w:ascii="仿宋_GB2312" w:hAnsi="Calibri" w:eastAsia="仿宋_GB2312" w:cs="黑体"/>
          <w:kern w:val="2"/>
          <w:sz w:val="32"/>
          <w:szCs w:val="32"/>
          <w:highlight w:val="none"/>
          <w:shd w:val="clear" w:color="auto" w:fill="auto"/>
          <w:lang w:val="en-US" w:eastAsia="zh-CN" w:bidi="ar-SA"/>
        </w:rPr>
        <w:t>付款方式为一次性支付</w:t>
      </w:r>
      <w:r>
        <w:rPr>
          <w:rFonts w:hint="eastAsia" w:ascii="仿宋_GB2312" w:eastAsia="仿宋_GB2312" w:cs="黑体"/>
          <w:kern w:val="2"/>
          <w:sz w:val="32"/>
          <w:szCs w:val="32"/>
          <w:highlight w:val="none"/>
          <w:shd w:val="clear" w:color="auto" w:fill="auto"/>
          <w:lang w:val="en-US" w:eastAsia="zh-CN" w:bidi="ar-SA"/>
        </w:rPr>
        <w:t>或分期付款</w:t>
      </w:r>
      <w:r>
        <w:rPr>
          <w:rFonts w:hint="eastAsia" w:ascii="仿宋_GB2312" w:hAnsi="Calibri" w:eastAsia="仿宋_GB2312" w:cs="黑体"/>
          <w:kern w:val="2"/>
          <w:sz w:val="32"/>
          <w:szCs w:val="32"/>
          <w:highlight w:val="none"/>
          <w:shd w:val="clear" w:color="auto" w:fill="auto"/>
          <w:lang w:val="en-US" w:eastAsia="zh-CN" w:bidi="ar-SA"/>
        </w:rPr>
        <w:t>，</w:t>
      </w:r>
      <w:r>
        <w:rPr>
          <w:rFonts w:hint="eastAsia" w:ascii="仿宋_GB2312" w:eastAsia="仿宋_GB2312" w:cs="黑体"/>
          <w:kern w:val="2"/>
          <w:sz w:val="32"/>
          <w:szCs w:val="32"/>
          <w:highlight w:val="none"/>
          <w:shd w:val="clear" w:color="auto" w:fill="auto"/>
          <w:lang w:val="en-US" w:eastAsia="zh-CN" w:bidi="ar-SA"/>
        </w:rPr>
        <w:t>分期付款的</w:t>
      </w:r>
      <w:r>
        <w:rPr>
          <w:rFonts w:hint="eastAsia" w:ascii="仿宋_GB2312" w:hAnsi="Calibri" w:eastAsia="仿宋_GB2312" w:cs="黑体"/>
          <w:kern w:val="2"/>
          <w:sz w:val="32"/>
          <w:szCs w:val="32"/>
          <w:highlight w:val="none"/>
          <w:shd w:val="clear" w:color="auto" w:fill="auto"/>
          <w:lang w:val="en-US" w:eastAsia="zh-CN" w:bidi="ar-SA"/>
        </w:rPr>
        <w:t>首付款比例不低于转让价款的30%，分期付款期限不超过两年，分期部分按5%的年化利率向</w:t>
      </w:r>
      <w:r>
        <w:rPr>
          <w:rFonts w:hint="eastAsia" w:ascii="仿宋_GB2312" w:eastAsia="仿宋_GB2312"/>
          <w:sz w:val="32"/>
          <w:szCs w:val="32"/>
          <w:lang w:val="en-US" w:eastAsia="zh-CN"/>
        </w:rPr>
        <w:t>中信金资贵州分公司</w:t>
      </w:r>
      <w:r>
        <w:rPr>
          <w:rFonts w:hint="eastAsia" w:ascii="仿宋_GB2312" w:hAnsi="Calibri" w:eastAsia="仿宋_GB2312" w:cs="黑体"/>
          <w:kern w:val="2"/>
          <w:sz w:val="32"/>
          <w:szCs w:val="32"/>
          <w:highlight w:val="none"/>
          <w:shd w:val="clear" w:color="auto" w:fill="auto"/>
          <w:lang w:val="en-US" w:eastAsia="zh-CN" w:bidi="ar-SA"/>
        </w:rPr>
        <w:t>支付资金占用费，全部款项付清后再进行资产交割。</w:t>
      </w:r>
      <w:r>
        <w:rPr>
          <w:rFonts w:hint="eastAsia" w:ascii="仿宋_GB2312" w:eastAsia="仿宋_GB2312" w:cs="黑体"/>
          <w:kern w:val="2"/>
          <w:sz w:val="32"/>
          <w:szCs w:val="32"/>
          <w:highlight w:val="none"/>
          <w:shd w:val="clear" w:color="auto" w:fill="auto"/>
          <w:lang w:val="en-US" w:eastAsia="zh-CN" w:bidi="ar-SA"/>
        </w:rPr>
        <w:t>转让价款或</w:t>
      </w:r>
      <w:r>
        <w:rPr>
          <w:rFonts w:hint="eastAsia" w:ascii="仿宋_GB2312" w:hAnsi="Calibri" w:eastAsia="仿宋_GB2312" w:cs="黑体"/>
          <w:kern w:val="2"/>
          <w:sz w:val="32"/>
          <w:szCs w:val="32"/>
          <w:highlight w:val="none"/>
          <w:shd w:val="clear" w:color="auto" w:fill="auto"/>
          <w:lang w:val="en-US" w:eastAsia="zh-CN" w:bidi="ar-SA"/>
        </w:rPr>
        <w:t>首付款应在《</w:t>
      </w:r>
      <w:r>
        <w:rPr>
          <w:rFonts w:hint="eastAsia" w:ascii="仿宋_GB2312" w:eastAsia="仿宋_GB2312" w:cs="黑体"/>
          <w:kern w:val="2"/>
          <w:sz w:val="32"/>
          <w:szCs w:val="32"/>
          <w:highlight w:val="none"/>
          <w:shd w:val="clear" w:color="auto" w:fill="auto"/>
          <w:lang w:val="en-US" w:eastAsia="zh-CN" w:bidi="ar-SA"/>
        </w:rPr>
        <w:t>债权</w:t>
      </w:r>
      <w:r>
        <w:rPr>
          <w:rFonts w:hint="eastAsia" w:ascii="仿宋_GB2312" w:hAnsi="Calibri" w:eastAsia="仿宋_GB2312" w:cs="黑体"/>
          <w:kern w:val="2"/>
          <w:sz w:val="32"/>
          <w:szCs w:val="32"/>
          <w:highlight w:val="none"/>
          <w:shd w:val="clear" w:color="auto" w:fill="auto"/>
          <w:lang w:val="en-US" w:eastAsia="zh-CN" w:bidi="ar-SA"/>
        </w:rPr>
        <w:t>转让</w:t>
      </w:r>
      <w:r>
        <w:rPr>
          <w:rFonts w:hint="eastAsia" w:ascii="仿宋_GB2312" w:eastAsia="仿宋_GB2312" w:cs="黑体"/>
          <w:kern w:val="2"/>
          <w:sz w:val="32"/>
          <w:szCs w:val="32"/>
          <w:highlight w:val="none"/>
          <w:shd w:val="clear" w:color="auto" w:fill="auto"/>
          <w:lang w:val="en-US" w:eastAsia="zh-CN" w:bidi="ar-SA"/>
        </w:rPr>
        <w:t>协议</w:t>
      </w:r>
      <w:r>
        <w:rPr>
          <w:rFonts w:hint="eastAsia" w:ascii="仿宋_GB2312" w:hAnsi="Calibri" w:eastAsia="仿宋_GB2312" w:cs="黑体"/>
          <w:kern w:val="2"/>
          <w:sz w:val="32"/>
          <w:szCs w:val="32"/>
          <w:highlight w:val="none"/>
          <w:shd w:val="clear" w:color="auto" w:fill="auto"/>
          <w:lang w:val="en-US" w:eastAsia="zh-CN" w:bidi="ar-SA"/>
        </w:rPr>
        <w:t>》签订后</w:t>
      </w:r>
      <w:r>
        <w:rPr>
          <w:rFonts w:hint="eastAsia" w:ascii="仿宋_GB2312" w:eastAsia="仿宋_GB2312" w:cs="黑体"/>
          <w:kern w:val="2"/>
          <w:sz w:val="32"/>
          <w:szCs w:val="32"/>
          <w:highlight w:val="none"/>
          <w:shd w:val="clear" w:color="auto" w:fill="auto"/>
          <w:lang w:val="en-US" w:eastAsia="zh-CN" w:bidi="ar-SA"/>
        </w:rPr>
        <w:t>3</w:t>
      </w:r>
      <w:r>
        <w:rPr>
          <w:rFonts w:hint="eastAsia" w:ascii="仿宋_GB2312" w:hAnsi="Calibri" w:eastAsia="仿宋_GB2312" w:cs="黑体"/>
          <w:kern w:val="2"/>
          <w:sz w:val="32"/>
          <w:szCs w:val="32"/>
          <w:highlight w:val="none"/>
          <w:shd w:val="clear" w:color="auto" w:fill="auto"/>
          <w:lang w:val="en-US" w:eastAsia="zh-CN" w:bidi="ar-SA"/>
        </w:rPr>
        <w:t>个工作日内缴入</w:t>
      </w:r>
      <w:r>
        <w:rPr>
          <w:rFonts w:hint="eastAsia" w:ascii="仿宋_GB2312" w:eastAsia="仿宋_GB2312"/>
          <w:sz w:val="32"/>
          <w:szCs w:val="32"/>
          <w:lang w:val="en-US" w:eastAsia="zh-CN"/>
        </w:rPr>
        <w:t>中信金资贵州分公司</w:t>
      </w:r>
      <w:r>
        <w:rPr>
          <w:rFonts w:hint="eastAsia" w:ascii="仿宋_GB2312" w:hAnsi="Calibri" w:eastAsia="仿宋_GB2312" w:cs="黑体"/>
          <w:kern w:val="2"/>
          <w:sz w:val="32"/>
          <w:szCs w:val="32"/>
          <w:highlight w:val="none"/>
          <w:shd w:val="clear" w:color="auto" w:fill="auto"/>
          <w:lang w:val="en-US" w:eastAsia="zh-CN" w:bidi="ar-SA"/>
        </w:rPr>
        <w:t>指定账户。</w:t>
      </w:r>
    </w:p>
    <w:p w14:paraId="710DF9F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3" w:firstLineChars="200"/>
        <w:rPr>
          <w:rFonts w:hint="eastAsia" w:ascii="黑体" w:hAnsi="黑体" w:eastAsia="黑体" w:cs="黑体"/>
          <w:b/>
          <w:bCs/>
          <w:kern w:val="2"/>
          <w:sz w:val="32"/>
          <w:szCs w:val="32"/>
          <w:highlight w:val="none"/>
          <w:lang w:val="en-US" w:eastAsia="zh-CN" w:bidi="ar-SA"/>
        </w:rPr>
      </w:pPr>
      <w:r>
        <w:rPr>
          <w:rFonts w:hint="eastAsia" w:ascii="黑体" w:hAnsi="黑体" w:eastAsia="黑体" w:cs="黑体"/>
          <w:b/>
          <w:bCs/>
          <w:kern w:val="2"/>
          <w:sz w:val="32"/>
          <w:szCs w:val="32"/>
          <w:highlight w:val="none"/>
          <w:lang w:val="en-US" w:eastAsia="zh-CN" w:bidi="ar-SA"/>
        </w:rPr>
        <w:t>七、违约责任</w:t>
      </w:r>
    </w:p>
    <w:p w14:paraId="310E2F0B">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若竞买人竞价成功后不配合开展资格复核、不符合资格审查条件、或未配合</w:t>
      </w:r>
      <w:r>
        <w:rPr>
          <w:rFonts w:hint="eastAsia" w:ascii="仿宋_GB2312" w:hAnsi="仿宋_GB2312" w:eastAsia="仿宋_GB2312" w:cs="仿宋_GB2312"/>
          <w:bCs w:val="0"/>
          <w:kern w:val="2"/>
          <w:sz w:val="32"/>
          <w:szCs w:val="32"/>
          <w:u w:val="none"/>
          <w:lang w:val="en-US" w:eastAsia="zh-CN"/>
        </w:rPr>
        <w:t>中信金资贵州分公司</w:t>
      </w: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开展合规访谈（国有企业可不开展合规访谈）、未按时与</w:t>
      </w:r>
      <w:r>
        <w:rPr>
          <w:rFonts w:hint="eastAsia" w:ascii="仿宋_GB2312" w:hAnsi="仿宋_GB2312" w:eastAsia="仿宋_GB2312" w:cs="仿宋_GB2312"/>
          <w:bCs w:val="0"/>
          <w:kern w:val="2"/>
          <w:sz w:val="32"/>
          <w:szCs w:val="32"/>
          <w:u w:val="none"/>
          <w:lang w:val="en-US" w:eastAsia="zh-CN"/>
        </w:rPr>
        <w:t>中信金资贵州分公司</w:t>
      </w: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签署《债权转让协议》、未按期足额支付债权转让价款的，</w:t>
      </w:r>
      <w:r>
        <w:rPr>
          <w:rFonts w:hint="eastAsia" w:ascii="仿宋_GB2312" w:hAnsi="仿宋_GB2312" w:eastAsia="仿宋_GB2312" w:cs="仿宋_GB2312"/>
          <w:bCs w:val="0"/>
          <w:kern w:val="2"/>
          <w:sz w:val="32"/>
          <w:szCs w:val="32"/>
          <w:u w:val="none"/>
          <w:lang w:val="en-US" w:eastAsia="zh-CN"/>
        </w:rPr>
        <w:t>中信金资贵州分公司</w:t>
      </w: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有权取消竞买人资格并收取其已缴纳的保证金作为违约金。此时</w:t>
      </w:r>
      <w:r>
        <w:rPr>
          <w:rFonts w:hint="eastAsia" w:ascii="仿宋_GB2312" w:hAnsi="仿宋_GB2312" w:eastAsia="仿宋_GB2312" w:cs="仿宋_GB2312"/>
          <w:bCs w:val="0"/>
          <w:kern w:val="2"/>
          <w:sz w:val="32"/>
          <w:szCs w:val="32"/>
          <w:u w:val="none"/>
          <w:lang w:val="en-US" w:eastAsia="zh-CN"/>
        </w:rPr>
        <w:t>中信金资贵州分公司</w:t>
      </w: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有权另行处置标的债权，若另行处置价格与本次公开竞价成交价格之间存在差额，则原竞买人应补足此差额，并承担另行处置资产所产生的费用。</w:t>
      </w:r>
    </w:p>
    <w:p w14:paraId="11ED18B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3" w:firstLineChars="200"/>
        <w:rPr>
          <w:rFonts w:hint="eastAsia" w:ascii="黑体" w:hAnsi="黑体" w:eastAsia="黑体" w:cs="黑体"/>
          <w:b/>
          <w:bCs/>
          <w:kern w:val="2"/>
          <w:sz w:val="32"/>
          <w:szCs w:val="32"/>
          <w:lang w:val="en-US" w:eastAsia="zh-CN" w:bidi="ar-SA"/>
        </w:rPr>
      </w:pPr>
      <w:r>
        <w:rPr>
          <w:rFonts w:hint="eastAsia" w:ascii="黑体" w:hAnsi="黑体" w:eastAsia="黑体" w:cs="黑体"/>
          <w:b/>
          <w:bCs/>
          <w:kern w:val="2"/>
          <w:sz w:val="32"/>
          <w:szCs w:val="32"/>
          <w:lang w:val="en-US" w:eastAsia="zh-CN" w:bidi="ar-SA"/>
        </w:rPr>
        <w:t>八、重大事项及瑕疵披露</w:t>
      </w:r>
    </w:p>
    <w:p w14:paraId="46E1AD74">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Calibri" w:eastAsia="仿宋_GB2312" w:cs="黑体"/>
          <w:kern w:val="2"/>
          <w:sz w:val="32"/>
          <w:szCs w:val="32"/>
          <w:highlight w:val="none"/>
          <w:shd w:val="clear" w:color="auto" w:fill="auto"/>
          <w:lang w:val="en-US" w:eastAsia="zh-CN" w:bidi="ar-SA"/>
        </w:rPr>
      </w:pPr>
      <w:r>
        <w:rPr>
          <w:rFonts w:hint="eastAsia" w:ascii="仿宋_GB2312" w:hAnsi="Calibri" w:eastAsia="仿宋_GB2312" w:cs="黑体"/>
          <w:kern w:val="2"/>
          <w:sz w:val="32"/>
          <w:szCs w:val="32"/>
          <w:highlight w:val="none"/>
          <w:shd w:val="clear" w:color="auto" w:fill="auto"/>
          <w:lang w:val="en-US" w:eastAsia="zh-CN" w:bidi="ar-SA"/>
        </w:rPr>
        <w:t>就标的债权转让事宜，特向竞买人作出如下风险提示，竞买人对以下风险表示完全知晓并自愿承担由此可能发生的不利法律或其他后果：</w:t>
      </w:r>
    </w:p>
    <w:p w14:paraId="1FC5BE29">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Calibri" w:eastAsia="仿宋_GB2312" w:cs="黑体"/>
          <w:kern w:val="2"/>
          <w:sz w:val="32"/>
          <w:szCs w:val="32"/>
          <w:highlight w:val="none"/>
          <w:shd w:val="clear" w:color="auto" w:fill="auto"/>
          <w:lang w:val="en-US" w:eastAsia="zh-CN" w:bidi="ar-SA"/>
        </w:rPr>
      </w:pPr>
      <w:r>
        <w:rPr>
          <w:rFonts w:hint="eastAsia" w:ascii="仿宋_GB2312" w:hAnsi="Calibri" w:eastAsia="仿宋_GB2312" w:cs="黑体"/>
          <w:kern w:val="2"/>
          <w:sz w:val="32"/>
          <w:szCs w:val="32"/>
          <w:highlight w:val="none"/>
          <w:shd w:val="clear" w:color="auto" w:fill="auto"/>
          <w:lang w:val="en-US" w:eastAsia="zh-CN" w:bidi="ar-SA"/>
        </w:rPr>
        <w:t>标的债权可能因法律或政策的不明朗，在竞买人受让后主张权利或以其名义向法院或仲裁机构提起诉讼或仲裁、申请变更诉讼或执行主体时，该等法院或仲裁机构不予受理、不予审理、不予支持、不予变更、不予执行等致使竞买人权利难以行使或落空的风险。</w:t>
      </w:r>
    </w:p>
    <w:p w14:paraId="55E136F5">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Calibri" w:eastAsia="仿宋_GB2312" w:cs="黑体"/>
          <w:kern w:val="2"/>
          <w:sz w:val="32"/>
          <w:szCs w:val="32"/>
          <w:highlight w:val="none"/>
          <w:shd w:val="clear" w:color="auto" w:fill="auto"/>
          <w:lang w:val="en-US" w:eastAsia="zh-CN" w:bidi="ar-SA"/>
        </w:rPr>
      </w:pPr>
      <w:r>
        <w:rPr>
          <w:rFonts w:hint="eastAsia" w:ascii="仿宋_GB2312" w:hAnsi="Calibri" w:eastAsia="仿宋_GB2312" w:cs="黑体"/>
          <w:kern w:val="2"/>
          <w:sz w:val="32"/>
          <w:szCs w:val="32"/>
          <w:highlight w:val="none"/>
          <w:shd w:val="clear" w:color="auto" w:fill="auto"/>
          <w:lang w:val="en-US" w:eastAsia="zh-CN" w:bidi="ar-SA"/>
        </w:rPr>
        <w:t>标的债权以现状转让，可能存在着瑕疵或尚未发现的重大缺陷，以至于竞买人预期利益无法最终实现，中信金资贵州分公司对标的债权不承担法律上的合法性、有效性等瑕疵担保责任，相关风险竞买人自行研判。</w:t>
      </w:r>
    </w:p>
    <w:p w14:paraId="4F12FFEC">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Calibri" w:eastAsia="仿宋_GB2312" w:cs="黑体"/>
          <w:kern w:val="2"/>
          <w:sz w:val="32"/>
          <w:szCs w:val="32"/>
          <w:highlight w:val="none"/>
          <w:shd w:val="clear" w:color="auto" w:fill="auto"/>
          <w:lang w:val="en-US" w:eastAsia="zh-CN" w:bidi="ar-SA"/>
        </w:rPr>
      </w:pPr>
      <w:r>
        <w:rPr>
          <w:rFonts w:hint="eastAsia" w:ascii="仿宋_GB2312" w:hAnsi="Calibri" w:eastAsia="仿宋_GB2312" w:cs="黑体"/>
          <w:kern w:val="2"/>
          <w:sz w:val="32"/>
          <w:szCs w:val="32"/>
          <w:highlight w:val="none"/>
          <w:shd w:val="clear" w:color="auto" w:fill="auto"/>
          <w:lang w:val="en-US" w:eastAsia="zh-CN" w:bidi="ar-SA"/>
        </w:rPr>
        <w:t>标的债权可能因存在计算误差或发生变动等，从而导致竞买人实际接收的标的债权金额与本公告表述标的债权金额不完全一致。</w:t>
      </w:r>
    </w:p>
    <w:p w14:paraId="3186294B">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Calibri" w:eastAsia="仿宋_GB2312" w:cs="黑体"/>
          <w:kern w:val="2"/>
          <w:sz w:val="32"/>
          <w:szCs w:val="32"/>
          <w:highlight w:val="none"/>
          <w:shd w:val="clear" w:color="auto" w:fill="auto"/>
          <w:lang w:val="en-US" w:eastAsia="zh-CN" w:bidi="ar-SA"/>
        </w:rPr>
      </w:pPr>
      <w:r>
        <w:rPr>
          <w:rFonts w:hint="eastAsia" w:ascii="仿宋_GB2312" w:hAnsi="Calibri" w:eastAsia="仿宋_GB2312" w:cs="黑体"/>
          <w:kern w:val="2"/>
          <w:sz w:val="32"/>
          <w:szCs w:val="32"/>
          <w:highlight w:val="none"/>
          <w:shd w:val="clear" w:color="auto" w:fill="auto"/>
          <w:lang w:val="en-US" w:eastAsia="zh-CN" w:bidi="ar-SA"/>
        </w:rPr>
        <w:t>标的债权及其从权利可能存在的瑕疵或重大缺陷包括但不限于下列一项或多项，需竞买人自行了解判断：</w:t>
      </w:r>
    </w:p>
    <w:p w14:paraId="2B5F4BEE">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Calibri" w:eastAsia="仿宋_GB2312" w:cs="黑体"/>
          <w:kern w:val="2"/>
          <w:sz w:val="32"/>
          <w:szCs w:val="32"/>
          <w:highlight w:val="none"/>
          <w:shd w:val="clear" w:color="auto" w:fill="auto"/>
          <w:lang w:val="en-US" w:eastAsia="zh-CN" w:bidi="ar-SA"/>
        </w:rPr>
      </w:pPr>
      <w:r>
        <w:rPr>
          <w:rFonts w:hint="eastAsia" w:ascii="仿宋_GB2312" w:hAnsi="Calibri" w:eastAsia="仿宋_GB2312" w:cs="黑体"/>
          <w:kern w:val="2"/>
          <w:sz w:val="32"/>
          <w:szCs w:val="32"/>
          <w:highlight w:val="none"/>
          <w:shd w:val="clear" w:color="auto" w:fill="auto"/>
          <w:lang w:val="en-US" w:eastAsia="zh-CN" w:bidi="ar-SA"/>
        </w:rPr>
        <w:t>（1）与标的债权相关的债务人或担保人或其他责任主体可能存在破产、被解散、被撤销、被注销、被吊销、歇业、被关闭、下落不明以及其他主体存续瑕疵的情形；</w:t>
      </w:r>
    </w:p>
    <w:p w14:paraId="39E69FD0">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Calibri" w:eastAsia="仿宋_GB2312" w:cs="黑体"/>
          <w:kern w:val="2"/>
          <w:sz w:val="32"/>
          <w:szCs w:val="32"/>
          <w:highlight w:val="none"/>
          <w:shd w:val="clear" w:color="auto" w:fill="auto"/>
          <w:lang w:val="en-US" w:eastAsia="zh-CN" w:bidi="ar-SA"/>
        </w:rPr>
      </w:pPr>
      <w:r>
        <w:rPr>
          <w:rFonts w:hint="eastAsia" w:ascii="仿宋_GB2312" w:hAnsi="Calibri" w:eastAsia="仿宋_GB2312" w:cs="黑体"/>
          <w:kern w:val="2"/>
          <w:sz w:val="32"/>
          <w:szCs w:val="32"/>
          <w:highlight w:val="none"/>
          <w:shd w:val="clear" w:color="auto" w:fill="auto"/>
          <w:lang w:val="en-US" w:eastAsia="zh-CN" w:bidi="ar-SA"/>
        </w:rPr>
        <w:t>（2）标的债权可能存在未生效、无效或被撤销的情形；</w:t>
      </w:r>
    </w:p>
    <w:p w14:paraId="2840463E">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Calibri" w:eastAsia="仿宋_GB2312" w:cs="黑体"/>
          <w:kern w:val="2"/>
          <w:sz w:val="32"/>
          <w:szCs w:val="32"/>
          <w:highlight w:val="none"/>
          <w:shd w:val="clear" w:color="auto" w:fill="auto"/>
          <w:lang w:val="en-US" w:eastAsia="zh-CN" w:bidi="ar-SA"/>
        </w:rPr>
      </w:pPr>
      <w:r>
        <w:rPr>
          <w:rFonts w:hint="eastAsia" w:ascii="仿宋_GB2312" w:hAnsi="Calibri" w:eastAsia="仿宋_GB2312" w:cs="黑体"/>
          <w:kern w:val="2"/>
          <w:sz w:val="32"/>
          <w:szCs w:val="32"/>
          <w:highlight w:val="none"/>
          <w:shd w:val="clear" w:color="auto" w:fill="auto"/>
          <w:lang w:val="en-US" w:eastAsia="zh-CN" w:bidi="ar-SA"/>
        </w:rPr>
        <w:t>（3）标的债权可能已超过诉讼时效或丧失相关的法定期间或因其他原因已部分消灭或成为自然债；</w:t>
      </w:r>
    </w:p>
    <w:p w14:paraId="6657A0AA">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Calibri" w:eastAsia="仿宋_GB2312" w:cs="黑体"/>
          <w:kern w:val="2"/>
          <w:sz w:val="32"/>
          <w:szCs w:val="32"/>
          <w:highlight w:val="none"/>
          <w:shd w:val="clear" w:color="auto" w:fill="auto"/>
          <w:lang w:val="en-US" w:eastAsia="zh-CN" w:bidi="ar-SA"/>
        </w:rPr>
      </w:pPr>
      <w:r>
        <w:rPr>
          <w:rFonts w:hint="eastAsia" w:ascii="仿宋_GB2312" w:hAnsi="Calibri" w:eastAsia="仿宋_GB2312" w:cs="黑体"/>
          <w:kern w:val="2"/>
          <w:sz w:val="32"/>
          <w:szCs w:val="32"/>
          <w:highlight w:val="none"/>
          <w:shd w:val="clear" w:color="auto" w:fill="auto"/>
          <w:lang w:val="en-US" w:eastAsia="zh-CN" w:bidi="ar-SA"/>
        </w:rPr>
        <w:t>（4）标的债权附属的担保协议可能虚假、不能依法成立或者生效、无效或被撤销，担保人不承担全部担保责任或只承担部分担保责任；</w:t>
      </w:r>
    </w:p>
    <w:p w14:paraId="120BD25F">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Calibri" w:eastAsia="仿宋_GB2312" w:cs="黑体"/>
          <w:kern w:val="2"/>
          <w:sz w:val="32"/>
          <w:szCs w:val="32"/>
          <w:highlight w:val="none"/>
          <w:shd w:val="clear" w:color="auto" w:fill="auto"/>
          <w:lang w:val="en-US" w:eastAsia="zh-CN" w:bidi="ar-SA"/>
        </w:rPr>
      </w:pPr>
      <w:r>
        <w:rPr>
          <w:rFonts w:hint="eastAsia" w:ascii="仿宋_GB2312" w:hAnsi="Calibri" w:eastAsia="仿宋_GB2312" w:cs="黑体"/>
          <w:kern w:val="2"/>
          <w:sz w:val="32"/>
          <w:szCs w:val="32"/>
          <w:highlight w:val="none"/>
          <w:shd w:val="clear" w:color="auto" w:fill="auto"/>
          <w:lang w:val="en-US" w:eastAsia="zh-CN" w:bidi="ar-SA"/>
        </w:rPr>
        <w:t>（5）标的债权附属的保证协议可能约定主债权不可转让或只对特定债权人承担保证责任；</w:t>
      </w:r>
    </w:p>
    <w:p w14:paraId="71F7F767">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Calibri" w:eastAsia="仿宋_GB2312" w:cs="黑体"/>
          <w:kern w:val="2"/>
          <w:sz w:val="32"/>
          <w:szCs w:val="32"/>
          <w:highlight w:val="none"/>
          <w:shd w:val="clear" w:color="auto" w:fill="auto"/>
          <w:lang w:val="en-US" w:eastAsia="zh-CN" w:bidi="ar-SA"/>
        </w:rPr>
      </w:pPr>
      <w:r>
        <w:rPr>
          <w:rFonts w:hint="eastAsia" w:ascii="仿宋_GB2312" w:hAnsi="Calibri" w:eastAsia="仿宋_GB2312" w:cs="黑体"/>
          <w:kern w:val="2"/>
          <w:sz w:val="32"/>
          <w:szCs w:val="32"/>
          <w:highlight w:val="none"/>
          <w:shd w:val="clear" w:color="auto" w:fill="auto"/>
          <w:lang w:val="en-US" w:eastAsia="zh-CN" w:bidi="ar-SA"/>
        </w:rPr>
        <w:t>（6）标的债权的保证担保在保证协议约定或法律规定的保证期间内可能因没有向债务人或保证人主张权利，而造成保证人不再承担保证责任或免责；</w:t>
      </w:r>
    </w:p>
    <w:p w14:paraId="7EB9BCC1">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Calibri" w:eastAsia="仿宋_GB2312" w:cs="黑体"/>
          <w:kern w:val="2"/>
          <w:sz w:val="32"/>
          <w:szCs w:val="32"/>
          <w:highlight w:val="none"/>
          <w:shd w:val="clear" w:color="auto" w:fill="auto"/>
          <w:lang w:val="en-US" w:eastAsia="zh-CN" w:bidi="ar-SA"/>
        </w:rPr>
      </w:pPr>
      <w:r>
        <w:rPr>
          <w:rFonts w:hint="eastAsia" w:ascii="仿宋_GB2312" w:hAnsi="Calibri" w:eastAsia="仿宋_GB2312" w:cs="黑体"/>
          <w:kern w:val="2"/>
          <w:sz w:val="32"/>
          <w:szCs w:val="32"/>
          <w:highlight w:val="none"/>
          <w:shd w:val="clear" w:color="auto" w:fill="auto"/>
          <w:lang w:val="en-US" w:eastAsia="zh-CN" w:bidi="ar-SA"/>
        </w:rPr>
        <w:t>（7）标的债权的保证可能已过诉讼时效；</w:t>
      </w:r>
    </w:p>
    <w:p w14:paraId="5252053A">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Calibri" w:eastAsia="仿宋_GB2312" w:cs="黑体"/>
          <w:kern w:val="2"/>
          <w:sz w:val="32"/>
          <w:szCs w:val="32"/>
          <w:highlight w:val="none"/>
          <w:shd w:val="clear" w:color="auto" w:fill="auto"/>
          <w:lang w:val="en-US" w:eastAsia="zh-CN" w:bidi="ar-SA"/>
        </w:rPr>
      </w:pPr>
      <w:r>
        <w:rPr>
          <w:rFonts w:hint="eastAsia" w:ascii="仿宋_GB2312" w:hAnsi="Calibri" w:eastAsia="仿宋_GB2312" w:cs="黑体"/>
          <w:kern w:val="2"/>
          <w:sz w:val="32"/>
          <w:szCs w:val="32"/>
          <w:highlight w:val="none"/>
          <w:shd w:val="clear" w:color="auto" w:fill="auto"/>
          <w:lang w:val="en-US" w:eastAsia="zh-CN" w:bidi="ar-SA"/>
        </w:rPr>
        <w:t>（8）标的债权的担保物权在主债权诉讼时效完成后可能未予行使；</w:t>
      </w:r>
    </w:p>
    <w:p w14:paraId="48A23F82">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Calibri" w:eastAsia="仿宋_GB2312" w:cs="黑体"/>
          <w:kern w:val="2"/>
          <w:sz w:val="32"/>
          <w:szCs w:val="32"/>
          <w:highlight w:val="none"/>
          <w:shd w:val="clear" w:color="auto" w:fill="auto"/>
          <w:lang w:val="en-US" w:eastAsia="zh-CN" w:bidi="ar-SA"/>
        </w:rPr>
      </w:pPr>
      <w:r>
        <w:rPr>
          <w:rFonts w:hint="eastAsia" w:ascii="仿宋_GB2312" w:hAnsi="Calibri" w:eastAsia="仿宋_GB2312" w:cs="黑体"/>
          <w:kern w:val="2"/>
          <w:sz w:val="32"/>
          <w:szCs w:val="32"/>
          <w:highlight w:val="none"/>
          <w:shd w:val="clear" w:color="auto" w:fill="auto"/>
          <w:lang w:val="en-US" w:eastAsia="zh-CN" w:bidi="ar-SA"/>
        </w:rPr>
        <w:t>（9）标的债权的担保物权可能因担保物灭失而消灭，且没有代位物或其他物上代位权可行使；</w:t>
      </w:r>
    </w:p>
    <w:p w14:paraId="56C8C322">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Calibri" w:eastAsia="仿宋_GB2312" w:cs="黑体"/>
          <w:kern w:val="2"/>
          <w:sz w:val="32"/>
          <w:szCs w:val="32"/>
          <w:highlight w:val="none"/>
          <w:shd w:val="clear" w:color="auto" w:fill="auto"/>
          <w:lang w:val="en-US" w:eastAsia="zh-CN" w:bidi="ar-SA"/>
        </w:rPr>
      </w:pPr>
      <w:r>
        <w:rPr>
          <w:rFonts w:hint="eastAsia" w:ascii="仿宋_GB2312" w:hAnsi="Calibri" w:eastAsia="仿宋_GB2312" w:cs="黑体"/>
          <w:kern w:val="2"/>
          <w:sz w:val="32"/>
          <w:szCs w:val="32"/>
          <w:highlight w:val="none"/>
          <w:shd w:val="clear" w:color="auto" w:fill="auto"/>
          <w:lang w:val="en-US" w:eastAsia="zh-CN" w:bidi="ar-SA"/>
        </w:rPr>
        <w:t>（10）标的债权的抵押物可能实际不存在，抵押物重复抵押，抵押协议实际未生效，抵押担保应办理抵押登记而未办理；或因动产抵押协议未办理登记而抵押物已为第三人善意取得；</w:t>
      </w:r>
    </w:p>
    <w:p w14:paraId="62F92B16">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Calibri" w:eastAsia="仿宋_GB2312" w:cs="黑体"/>
          <w:kern w:val="2"/>
          <w:sz w:val="32"/>
          <w:szCs w:val="32"/>
          <w:highlight w:val="none"/>
          <w:shd w:val="clear" w:color="auto" w:fill="auto"/>
          <w:lang w:val="en-US" w:eastAsia="zh-CN" w:bidi="ar-SA"/>
        </w:rPr>
      </w:pPr>
      <w:r>
        <w:rPr>
          <w:rFonts w:hint="eastAsia" w:ascii="仿宋_GB2312" w:hAnsi="Calibri" w:eastAsia="仿宋_GB2312" w:cs="黑体"/>
          <w:kern w:val="2"/>
          <w:sz w:val="32"/>
          <w:szCs w:val="32"/>
          <w:highlight w:val="none"/>
          <w:shd w:val="clear" w:color="auto" w:fill="auto"/>
          <w:lang w:val="en-US" w:eastAsia="zh-CN" w:bidi="ar-SA"/>
        </w:rPr>
        <w:t>（11）标的债权及其附属的最高额抵押，可能因最高额抵押的决算期未届满而发生一次或数次转让，从而可能造成抵押权甚至主债权落空的风险；</w:t>
      </w:r>
    </w:p>
    <w:p w14:paraId="048DCA20">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Calibri" w:eastAsia="仿宋_GB2312" w:cs="黑体"/>
          <w:kern w:val="2"/>
          <w:sz w:val="32"/>
          <w:szCs w:val="32"/>
          <w:highlight w:val="none"/>
          <w:shd w:val="clear" w:color="auto" w:fill="auto"/>
          <w:lang w:val="en-US" w:eastAsia="zh-CN" w:bidi="ar-SA"/>
        </w:rPr>
      </w:pPr>
      <w:r>
        <w:rPr>
          <w:rFonts w:hint="eastAsia" w:ascii="仿宋_GB2312" w:hAnsi="Calibri" w:eastAsia="仿宋_GB2312" w:cs="黑体"/>
          <w:kern w:val="2"/>
          <w:sz w:val="32"/>
          <w:szCs w:val="32"/>
          <w:highlight w:val="none"/>
          <w:shd w:val="clear" w:color="auto" w:fill="auto"/>
          <w:lang w:val="en-US" w:eastAsia="zh-CN" w:bidi="ar-SA"/>
        </w:rPr>
        <w:t>（12）部分标的债权可能已被全部或部分减免、被抵销、被清偿；</w:t>
      </w:r>
    </w:p>
    <w:p w14:paraId="525D43D2">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Calibri" w:eastAsia="仿宋_GB2312" w:cs="黑体"/>
          <w:kern w:val="2"/>
          <w:sz w:val="32"/>
          <w:szCs w:val="32"/>
          <w:highlight w:val="none"/>
          <w:shd w:val="clear" w:color="auto" w:fill="auto"/>
          <w:lang w:val="en-US" w:eastAsia="zh-CN" w:bidi="ar-SA"/>
        </w:rPr>
      </w:pPr>
      <w:r>
        <w:rPr>
          <w:rFonts w:hint="eastAsia" w:ascii="仿宋_GB2312" w:hAnsi="Calibri" w:eastAsia="仿宋_GB2312" w:cs="黑体"/>
          <w:kern w:val="2"/>
          <w:sz w:val="32"/>
          <w:szCs w:val="32"/>
          <w:highlight w:val="none"/>
          <w:shd w:val="clear" w:color="auto" w:fill="auto"/>
          <w:lang w:val="en-US" w:eastAsia="zh-CN" w:bidi="ar-SA"/>
        </w:rPr>
        <w:t>（13）已经进入诉讼程序的标的债权可能存在因超过法定上诉期限、申请执行期限而无法获得法律保护；</w:t>
      </w:r>
    </w:p>
    <w:p w14:paraId="321AC0F3">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Calibri" w:eastAsia="仿宋_GB2312" w:cs="黑体"/>
          <w:kern w:val="2"/>
          <w:sz w:val="32"/>
          <w:szCs w:val="32"/>
          <w:highlight w:val="none"/>
          <w:shd w:val="clear" w:color="auto" w:fill="auto"/>
          <w:lang w:val="en-US" w:eastAsia="zh-CN" w:bidi="ar-SA"/>
        </w:rPr>
      </w:pPr>
      <w:r>
        <w:rPr>
          <w:rFonts w:hint="eastAsia" w:ascii="仿宋_GB2312" w:hAnsi="Calibri" w:eastAsia="仿宋_GB2312" w:cs="黑体"/>
          <w:kern w:val="2"/>
          <w:sz w:val="32"/>
          <w:szCs w:val="32"/>
          <w:highlight w:val="none"/>
          <w:shd w:val="clear" w:color="auto" w:fill="auto"/>
          <w:lang w:val="en-US" w:eastAsia="zh-CN" w:bidi="ar-SA"/>
        </w:rPr>
        <w:t>（14）全部或部分债权经法院或仲裁机构裁判未获得其支持而败诉或部分败诉、法院已裁定终结执行等诉讼风险；受让标的后对债权中的利息、罚息等诉求经法院或仲裁机构裁判未获得其支持而败诉或部分败诉、法院已裁定终结执行等诉讼风险；</w:t>
      </w:r>
    </w:p>
    <w:p w14:paraId="0D538EE1">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Calibri" w:eastAsia="仿宋_GB2312" w:cs="黑体"/>
          <w:kern w:val="2"/>
          <w:sz w:val="32"/>
          <w:szCs w:val="32"/>
          <w:highlight w:val="none"/>
          <w:shd w:val="clear" w:color="auto" w:fill="auto"/>
          <w:lang w:val="en-US" w:eastAsia="zh-CN" w:bidi="ar-SA"/>
        </w:rPr>
      </w:pPr>
      <w:r>
        <w:rPr>
          <w:rFonts w:hint="eastAsia" w:ascii="仿宋_GB2312" w:hAnsi="Calibri" w:eastAsia="仿宋_GB2312" w:cs="黑体"/>
          <w:kern w:val="2"/>
          <w:sz w:val="32"/>
          <w:szCs w:val="32"/>
          <w:highlight w:val="none"/>
          <w:shd w:val="clear" w:color="auto" w:fill="auto"/>
          <w:lang w:val="en-US" w:eastAsia="zh-CN" w:bidi="ar-SA"/>
        </w:rPr>
        <w:t>（15）已经进入诉讼程序的不良资产债权，可能存在由于转让方未能在法律规定的期限内申请继续查封而导致转让方对债务人的资产失去控制；</w:t>
      </w:r>
    </w:p>
    <w:p w14:paraId="4ABC36BB">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Calibri" w:eastAsia="仿宋_GB2312" w:cs="黑体"/>
          <w:kern w:val="2"/>
          <w:sz w:val="32"/>
          <w:szCs w:val="32"/>
          <w:highlight w:val="none"/>
          <w:shd w:val="clear" w:color="auto" w:fill="auto"/>
          <w:lang w:val="en-US" w:eastAsia="zh-CN" w:bidi="ar-SA"/>
        </w:rPr>
      </w:pPr>
      <w:r>
        <w:rPr>
          <w:rFonts w:hint="eastAsia" w:ascii="仿宋_GB2312" w:hAnsi="Calibri" w:eastAsia="仿宋_GB2312" w:cs="黑体"/>
          <w:kern w:val="2"/>
          <w:sz w:val="32"/>
          <w:szCs w:val="32"/>
          <w:highlight w:val="none"/>
          <w:shd w:val="clear" w:color="auto" w:fill="auto"/>
          <w:lang w:val="en-US" w:eastAsia="zh-CN" w:bidi="ar-SA"/>
        </w:rPr>
        <w:t>（16）标的债权在交易基准日后仍会发生变化；</w:t>
      </w:r>
    </w:p>
    <w:p w14:paraId="4B7F603E">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Calibri" w:eastAsia="仿宋_GB2312" w:cs="黑体"/>
          <w:kern w:val="2"/>
          <w:sz w:val="32"/>
          <w:szCs w:val="32"/>
          <w:highlight w:val="none"/>
          <w:shd w:val="clear" w:color="auto" w:fill="auto"/>
          <w:lang w:val="en-US" w:eastAsia="zh-CN" w:bidi="ar-SA"/>
        </w:rPr>
      </w:pPr>
      <w:r>
        <w:rPr>
          <w:rFonts w:hint="eastAsia" w:ascii="仿宋_GB2312" w:hAnsi="Calibri" w:eastAsia="仿宋_GB2312" w:cs="黑体"/>
          <w:kern w:val="2"/>
          <w:sz w:val="32"/>
          <w:szCs w:val="32"/>
          <w:highlight w:val="none"/>
          <w:shd w:val="clear" w:color="auto" w:fill="auto"/>
          <w:lang w:val="en-US" w:eastAsia="zh-CN" w:bidi="ar-SA"/>
        </w:rPr>
        <w:t>（17）主从债权证明文件仅为复印件，或者主从债权证明文件存在缺失、不完整或内容冲突等相关情形；随标的债权一并转让的垫付费用（如有）等可能缺少相关票据文件等而不被法院或仲裁机构支持，致使该部分债权无法实现；</w:t>
      </w:r>
    </w:p>
    <w:p w14:paraId="269C73CC">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Calibri" w:eastAsia="仿宋_GB2312" w:cs="黑体"/>
          <w:kern w:val="2"/>
          <w:sz w:val="32"/>
          <w:szCs w:val="32"/>
          <w:highlight w:val="none"/>
          <w:shd w:val="clear" w:color="auto" w:fill="auto"/>
          <w:lang w:val="en-US" w:eastAsia="zh-CN" w:bidi="ar-SA"/>
        </w:rPr>
      </w:pPr>
      <w:r>
        <w:rPr>
          <w:rFonts w:hint="eastAsia" w:ascii="仿宋_GB2312" w:hAnsi="Calibri" w:eastAsia="仿宋_GB2312" w:cs="黑体"/>
          <w:kern w:val="2"/>
          <w:sz w:val="32"/>
          <w:szCs w:val="32"/>
          <w:highlight w:val="none"/>
          <w:shd w:val="clear" w:color="auto" w:fill="auto"/>
          <w:lang w:val="en-US" w:eastAsia="zh-CN" w:bidi="ar-SA"/>
        </w:rPr>
        <w:t>（18）原债权人未就标的债权的转让通知债务人使得债权转让尚未对债务人发生法律效力；</w:t>
      </w:r>
    </w:p>
    <w:p w14:paraId="65C2863F">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Calibri" w:eastAsia="仿宋_GB2312" w:cs="黑体"/>
          <w:kern w:val="2"/>
          <w:sz w:val="32"/>
          <w:szCs w:val="32"/>
          <w:highlight w:val="none"/>
          <w:shd w:val="clear" w:color="auto" w:fill="auto"/>
          <w:lang w:val="en-US" w:eastAsia="zh-CN" w:bidi="ar-SA"/>
        </w:rPr>
      </w:pPr>
      <w:r>
        <w:rPr>
          <w:rFonts w:hint="eastAsia" w:ascii="仿宋_GB2312" w:hAnsi="Calibri" w:eastAsia="仿宋_GB2312" w:cs="黑体"/>
          <w:kern w:val="2"/>
          <w:sz w:val="32"/>
          <w:szCs w:val="32"/>
          <w:highlight w:val="none"/>
          <w:shd w:val="clear" w:color="auto" w:fill="auto"/>
          <w:lang w:val="en-US" w:eastAsia="zh-CN" w:bidi="ar-SA"/>
        </w:rPr>
        <w:t>（19）可能存在诉讼或执行主体无法变更、利息无法得到支持以及因前手无法提供资料等原因导致无法启动或者推进司法追偿程序等瑕疵；</w:t>
      </w:r>
    </w:p>
    <w:p w14:paraId="56FDFBE1">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Calibri" w:eastAsia="仿宋_GB2312" w:cs="黑体"/>
          <w:kern w:val="2"/>
          <w:sz w:val="32"/>
          <w:szCs w:val="32"/>
          <w:highlight w:val="none"/>
          <w:shd w:val="clear" w:color="auto" w:fill="auto"/>
          <w:lang w:val="en-US" w:eastAsia="zh-CN" w:bidi="ar-SA"/>
        </w:rPr>
      </w:pPr>
      <w:r>
        <w:rPr>
          <w:rFonts w:hint="eastAsia" w:ascii="仿宋_GB2312" w:hAnsi="Calibri" w:eastAsia="仿宋_GB2312" w:cs="黑体"/>
          <w:kern w:val="2"/>
          <w:sz w:val="32"/>
          <w:szCs w:val="32"/>
          <w:highlight w:val="none"/>
          <w:shd w:val="clear" w:color="auto" w:fill="auto"/>
          <w:lang w:val="en-US" w:eastAsia="zh-CN" w:bidi="ar-SA"/>
        </w:rPr>
        <w:t>（20）债务人与保证人/执行担保人存在其他涉诉、涉执、列入失信被执行人名单等情形；</w:t>
      </w:r>
    </w:p>
    <w:p w14:paraId="5CF71A35">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Calibri" w:eastAsia="仿宋_GB2312" w:cs="黑体"/>
          <w:kern w:val="2"/>
          <w:sz w:val="32"/>
          <w:szCs w:val="32"/>
          <w:highlight w:val="none"/>
          <w:shd w:val="clear" w:color="auto" w:fill="auto"/>
          <w:lang w:val="en-US" w:eastAsia="zh-CN" w:bidi="ar-SA"/>
        </w:rPr>
      </w:pPr>
      <w:r>
        <w:rPr>
          <w:rFonts w:hint="eastAsia" w:ascii="仿宋_GB2312" w:hAnsi="Calibri" w:eastAsia="仿宋_GB2312" w:cs="黑体"/>
          <w:kern w:val="2"/>
          <w:sz w:val="32"/>
          <w:szCs w:val="32"/>
          <w:highlight w:val="none"/>
          <w:shd w:val="clear" w:color="auto" w:fill="auto"/>
          <w:lang w:val="en-US" w:eastAsia="zh-CN" w:bidi="ar-SA"/>
        </w:rPr>
        <w:t>（21）基准日债权金额为一般性描述，标的债权可能因冲抵顺序、计算误差、司法执行现状等原因造成债权金额发生变化；</w:t>
      </w:r>
    </w:p>
    <w:p w14:paraId="58F421F4">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Calibri" w:eastAsia="仿宋_GB2312" w:cs="黑体"/>
          <w:kern w:val="2"/>
          <w:sz w:val="32"/>
          <w:szCs w:val="32"/>
          <w:highlight w:val="none"/>
          <w:shd w:val="clear" w:color="auto" w:fill="auto"/>
          <w:lang w:val="en-US" w:eastAsia="zh-CN" w:bidi="ar-SA"/>
        </w:rPr>
      </w:pPr>
      <w:r>
        <w:rPr>
          <w:rFonts w:hint="eastAsia" w:ascii="仿宋_GB2312" w:hAnsi="Calibri" w:eastAsia="仿宋_GB2312" w:cs="黑体"/>
          <w:kern w:val="2"/>
          <w:sz w:val="32"/>
          <w:szCs w:val="32"/>
          <w:highlight w:val="none"/>
          <w:shd w:val="clear" w:color="auto" w:fill="auto"/>
          <w:lang w:val="en-US" w:eastAsia="zh-CN" w:bidi="ar-SA"/>
        </w:rPr>
        <w:t>（22）根据属地不动产登记部门出具的查询结果，未见抵押土地权属、抵押等登记信息（土地证号：瓮国用（2010）第00125号，他项权证号：他项（2013）006号），该土地可能已办理“房地一体”登记，或已无法单独就该土地部分主张抵押优先受偿权；抵押土地（土地证号：瓮国用（2015）第00010号），上已有建设警示教育基地、住宅等（抵押登记后建设的建筑物）不属于抵押物范围的建筑物，可能对主张该土地的优先受偿权造成障碍。上述抵押土地的现状可能造成抵押权难以实现。上述土地对应土地出让金可能未完全缴纳。</w:t>
      </w:r>
    </w:p>
    <w:p w14:paraId="2E199AA9">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Calibri" w:eastAsia="仿宋_GB2312" w:cs="黑体"/>
          <w:kern w:val="2"/>
          <w:sz w:val="32"/>
          <w:szCs w:val="32"/>
          <w:highlight w:val="none"/>
          <w:shd w:val="clear" w:color="auto" w:fill="auto"/>
          <w:lang w:val="en-US" w:eastAsia="zh-CN" w:bidi="ar-SA"/>
        </w:rPr>
      </w:pPr>
      <w:r>
        <w:rPr>
          <w:rFonts w:hint="eastAsia" w:ascii="仿宋_GB2312" w:hAnsi="Calibri" w:eastAsia="仿宋_GB2312" w:cs="黑体"/>
          <w:kern w:val="2"/>
          <w:sz w:val="32"/>
          <w:szCs w:val="32"/>
          <w:highlight w:val="none"/>
          <w:shd w:val="clear" w:color="auto" w:fill="auto"/>
          <w:lang w:val="en-US" w:eastAsia="zh-CN" w:bidi="ar-SA"/>
        </w:rPr>
        <w:t>（23）在建工程抵押物可能因欠付工程价款被施工方主张工程款优先权，导致抵押权难以实现或抵押权价值贬损；</w:t>
      </w:r>
    </w:p>
    <w:p w14:paraId="42656797">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Calibri" w:eastAsia="仿宋_GB2312" w:cs="黑体"/>
          <w:kern w:val="2"/>
          <w:sz w:val="32"/>
          <w:szCs w:val="32"/>
          <w:highlight w:val="none"/>
          <w:shd w:val="clear" w:color="auto" w:fill="auto"/>
          <w:lang w:val="en-US" w:eastAsia="zh-CN" w:bidi="ar-SA"/>
        </w:rPr>
      </w:pPr>
      <w:r>
        <w:rPr>
          <w:rFonts w:hint="eastAsia" w:ascii="仿宋_GB2312" w:hAnsi="Calibri" w:eastAsia="仿宋_GB2312" w:cs="黑体"/>
          <w:kern w:val="2"/>
          <w:sz w:val="32"/>
          <w:szCs w:val="32"/>
          <w:highlight w:val="none"/>
          <w:shd w:val="clear" w:color="auto" w:fill="auto"/>
          <w:lang w:val="en-US" w:eastAsia="zh-CN" w:bidi="ar-SA"/>
        </w:rPr>
        <w:t>（24）根据属地不动产登记部门出具的查询结果，车库抵押物未有权属登记，车库权属不明，该车库可能涉及人防车位、不计算容积率的车位等规划性质，导致无法实现抵押优先受偿权、抵押无效等风险；</w:t>
      </w:r>
    </w:p>
    <w:p w14:paraId="5E57FCDA">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Calibri" w:eastAsia="仿宋_GB2312" w:cs="黑体"/>
          <w:kern w:val="2"/>
          <w:sz w:val="32"/>
          <w:szCs w:val="32"/>
          <w:highlight w:val="none"/>
          <w:shd w:val="clear" w:color="auto" w:fill="auto"/>
          <w:lang w:val="en-US" w:eastAsia="zh-CN" w:bidi="ar-SA"/>
        </w:rPr>
      </w:pPr>
      <w:r>
        <w:rPr>
          <w:rFonts w:hint="eastAsia" w:ascii="仿宋_GB2312" w:hAnsi="Calibri" w:eastAsia="仿宋_GB2312" w:cs="黑体"/>
          <w:kern w:val="2"/>
          <w:sz w:val="32"/>
          <w:szCs w:val="32"/>
          <w:highlight w:val="none"/>
          <w:shd w:val="clear" w:color="auto" w:fill="auto"/>
          <w:lang w:val="en-US" w:eastAsia="zh-CN" w:bidi="ar-SA"/>
        </w:rPr>
        <w:t>（25）部分抵押物存在占用、租赁、拆迁安置还房、物业用房，抵押人私自对外销售，第三人对抵押物主张权益等情形，可能导致抵押物优先受偿权难以实现；</w:t>
      </w:r>
    </w:p>
    <w:p w14:paraId="5071B866">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Calibri" w:eastAsia="仿宋_GB2312" w:cs="黑体"/>
          <w:kern w:val="2"/>
          <w:sz w:val="32"/>
          <w:szCs w:val="32"/>
          <w:highlight w:val="none"/>
          <w:shd w:val="clear" w:color="auto" w:fill="auto"/>
          <w:lang w:val="en-US" w:eastAsia="zh-CN" w:bidi="ar-SA"/>
        </w:rPr>
      </w:pPr>
      <w:r>
        <w:rPr>
          <w:rFonts w:hint="eastAsia" w:ascii="仿宋_GB2312" w:hAnsi="Calibri" w:eastAsia="仿宋_GB2312" w:cs="黑体"/>
          <w:kern w:val="2"/>
          <w:sz w:val="32"/>
          <w:szCs w:val="32"/>
          <w:highlight w:val="none"/>
          <w:shd w:val="clear" w:color="auto" w:fill="auto"/>
          <w:lang w:val="en-US" w:eastAsia="zh-CN" w:bidi="ar-SA"/>
        </w:rPr>
        <w:t>（26）抵押协议、生效法律文书、不动产登记部门登记信息等文书对抵押物的具体面积、套数、相关权证信息等存在不一致情况，实际享有的抵押权以登记现状、司法执行支持现状等为准。同时因部分抵押物存在私售、司法拍卖、以物抵债等情况，导致生效法律文书确认的抵押物范围与登记部门查询结果不一致，可主张的抵押物优先权以实际登记信息且司法执行程序认定的无争议部分为准；</w:t>
      </w:r>
    </w:p>
    <w:p w14:paraId="32F9A66A">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Calibri" w:eastAsia="仿宋_GB2312" w:cs="黑体"/>
          <w:kern w:val="2"/>
          <w:sz w:val="32"/>
          <w:szCs w:val="32"/>
          <w:highlight w:val="none"/>
          <w:shd w:val="clear" w:color="auto" w:fill="auto"/>
          <w:lang w:val="en-US" w:eastAsia="zh-CN" w:bidi="ar-SA"/>
        </w:rPr>
      </w:pPr>
      <w:r>
        <w:rPr>
          <w:rFonts w:hint="eastAsia" w:ascii="仿宋_GB2312" w:hAnsi="Calibri" w:eastAsia="仿宋_GB2312" w:cs="黑体"/>
          <w:kern w:val="2"/>
          <w:sz w:val="32"/>
          <w:szCs w:val="32"/>
          <w:highlight w:val="none"/>
          <w:shd w:val="clear" w:color="auto" w:fill="auto"/>
          <w:lang w:val="en-US" w:eastAsia="zh-CN" w:bidi="ar-SA"/>
        </w:rPr>
        <w:t>（27）标的债权涉及收取债务重组顾问费可能对主债权确权金额带来潜在风险；</w:t>
      </w:r>
    </w:p>
    <w:p w14:paraId="1175BF58">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Calibri" w:eastAsia="仿宋_GB2312" w:cs="黑体"/>
          <w:kern w:val="2"/>
          <w:sz w:val="32"/>
          <w:szCs w:val="32"/>
          <w:highlight w:val="none"/>
          <w:shd w:val="clear" w:color="auto" w:fill="auto"/>
          <w:lang w:val="en-US" w:eastAsia="zh-CN" w:bidi="ar-SA"/>
        </w:rPr>
      </w:pPr>
      <w:r>
        <w:rPr>
          <w:rFonts w:hint="eastAsia" w:ascii="仿宋_GB2312" w:hAnsi="Calibri" w:eastAsia="仿宋_GB2312" w:cs="黑体"/>
          <w:kern w:val="2"/>
          <w:sz w:val="32"/>
          <w:szCs w:val="32"/>
          <w:highlight w:val="none"/>
          <w:shd w:val="clear" w:color="auto" w:fill="auto"/>
          <w:lang w:val="en-US" w:eastAsia="zh-CN" w:bidi="ar-SA"/>
        </w:rPr>
        <w:t>（28）标的债权的查封期限以现状为准；</w:t>
      </w:r>
    </w:p>
    <w:p w14:paraId="3F399FD4">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kern w:val="2"/>
          <w:sz w:val="32"/>
          <w:szCs w:val="32"/>
          <w:highlight w:val="none"/>
          <w:shd w:val="clear" w:color="auto" w:fill="auto"/>
          <w:lang w:val="en-US" w:eastAsia="zh-CN" w:bidi="ar-SA"/>
        </w:rPr>
      </w:pPr>
      <w:r>
        <w:rPr>
          <w:rFonts w:hint="eastAsia" w:ascii="仿宋_GB2312" w:hAnsi="Calibri" w:eastAsia="仿宋_GB2312" w:cs="黑体"/>
          <w:kern w:val="2"/>
          <w:sz w:val="32"/>
          <w:szCs w:val="32"/>
          <w:highlight w:val="none"/>
          <w:shd w:val="clear" w:color="auto" w:fill="auto"/>
          <w:lang w:val="en-US" w:eastAsia="zh-CN" w:bidi="ar-SA"/>
        </w:rPr>
        <w:t>（29）标的债权及其从权利的其他瑕疵或重大缺陷。</w:t>
      </w:r>
      <w:r>
        <w:rPr>
          <w:rFonts w:hint="eastAsia" w:ascii="黑体" w:hAnsi="黑体" w:eastAsia="黑体" w:cs="黑体"/>
          <w:kern w:val="2"/>
          <w:sz w:val="32"/>
          <w:szCs w:val="32"/>
          <w:highlight w:val="none"/>
          <w:shd w:val="clear" w:color="auto" w:fill="auto"/>
          <w:lang w:val="en-US" w:eastAsia="zh-CN" w:bidi="ar-SA"/>
        </w:rPr>
        <w:t>九、其他事项</w:t>
      </w:r>
    </w:p>
    <w:p w14:paraId="32480C4D">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Calibri" w:eastAsia="仿宋_GB2312" w:cs="黑体"/>
          <w:kern w:val="2"/>
          <w:sz w:val="32"/>
          <w:szCs w:val="32"/>
          <w:highlight w:val="none"/>
          <w:shd w:val="clear" w:color="auto" w:fill="auto"/>
          <w:lang w:val="en-US" w:eastAsia="zh-CN" w:bidi="ar-SA"/>
        </w:rPr>
      </w:pPr>
      <w:r>
        <w:rPr>
          <w:rFonts w:hint="eastAsia" w:ascii="仿宋_GB2312" w:hAnsi="Calibri" w:eastAsia="仿宋_GB2312" w:cs="黑体"/>
          <w:kern w:val="2"/>
          <w:sz w:val="32"/>
          <w:szCs w:val="32"/>
          <w:highlight w:val="none"/>
          <w:shd w:val="clear" w:color="auto" w:fill="auto"/>
          <w:lang w:val="en-US" w:eastAsia="zh-CN" w:bidi="ar-SA"/>
        </w:rPr>
        <w:t>1.竞买人自行对债权情况进行尽职调查，自行评判购买风险。</w:t>
      </w:r>
    </w:p>
    <w:p w14:paraId="03AAB3D4">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Calibri" w:eastAsia="仿宋_GB2312" w:cs="黑体"/>
          <w:kern w:val="2"/>
          <w:sz w:val="32"/>
          <w:szCs w:val="32"/>
          <w:highlight w:val="none"/>
          <w:shd w:val="clear" w:color="auto" w:fill="auto"/>
          <w:lang w:val="en-US" w:eastAsia="zh-CN" w:bidi="ar-SA"/>
        </w:rPr>
      </w:pPr>
      <w:r>
        <w:rPr>
          <w:rFonts w:hint="eastAsia" w:ascii="仿宋_GB2312" w:hAnsi="Calibri" w:eastAsia="仿宋_GB2312" w:cs="黑体"/>
          <w:kern w:val="2"/>
          <w:sz w:val="32"/>
          <w:szCs w:val="32"/>
          <w:highlight w:val="none"/>
          <w:shd w:val="clear" w:color="auto" w:fill="auto"/>
          <w:lang w:val="en-US" w:eastAsia="zh-CN" w:bidi="ar-SA"/>
        </w:rPr>
        <w:t>2.交易相关税费由买卖双方按照有关法律规定各自承担，本次竞价平台的交易服务费由竞买人承担。</w:t>
      </w:r>
    </w:p>
    <w:p w14:paraId="12FC36DE">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中信金资贵州分公司对上述内容具有最终解释权。</w:t>
      </w:r>
    </w:p>
    <w:p w14:paraId="33C78E7B">
      <w:pPr>
        <w:pStyle w:val="5"/>
        <w:rPr>
          <w:rFonts w:hint="eastAsia" w:ascii="仿宋_GB2312" w:hAnsi="仿宋_GB2312" w:eastAsia="仿宋_GB2312" w:cs="仿宋_GB2312"/>
          <w:b/>
          <w:bCs/>
          <w:sz w:val="32"/>
          <w:szCs w:val="32"/>
          <w:lang w:val="en-US" w:eastAsia="zh-CN"/>
        </w:rPr>
      </w:pPr>
    </w:p>
    <w:p w14:paraId="4B981E16">
      <w:pPr>
        <w:rPr>
          <w:rFonts w:hint="eastAsia"/>
          <w:lang w:val="en-US" w:eastAsia="zh-CN"/>
        </w:rPr>
      </w:pPr>
    </w:p>
    <w:p w14:paraId="0FC07D9E">
      <w:pPr>
        <w:pStyle w:val="5"/>
        <w:rPr>
          <w:rFonts w:hint="eastAsia"/>
          <w:lang w:val="en-US" w:eastAsia="zh-CN"/>
        </w:rPr>
      </w:pPr>
    </w:p>
    <w:p w14:paraId="3850171D">
      <w:pPr>
        <w:ind w:firstLine="960" w:firstLineChars="3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中国中信金融资产管理股份有限公司贵州省分公司</w:t>
      </w:r>
    </w:p>
    <w:p w14:paraId="0460D095">
      <w:pPr>
        <w:pStyle w:val="3"/>
        <w:ind w:firstLine="0" w:firstLineChars="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2026年5月21日</w:t>
      </w:r>
    </w:p>
    <w:sectPr>
      <w:footerReference r:id="rId3" w:type="default"/>
      <w:pgSz w:w="11900" w:h="16840"/>
      <w:pgMar w:top="1440" w:right="1800" w:bottom="1440" w:left="20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Batang">
    <w:altName w:val="Malgun Gothic"/>
    <w:panose1 w:val="02030600000101010101"/>
    <w:charset w:val="81"/>
    <w:family w:val="auto"/>
    <w:pitch w:val="default"/>
    <w:sig w:usb0="00000000" w:usb1="00000000" w:usb2="00000030" w:usb3="00000000" w:csb0="4008009F" w:csb1="DFD70000"/>
  </w:font>
  <w:font w:name="Times">
    <w:altName w:val="Times New Roman"/>
    <w:panose1 w:val="02020603050405020304"/>
    <w:charset w:val="00"/>
    <w:family w:val="roman"/>
    <w:pitch w:val="default"/>
    <w:sig w:usb0="00000000" w:usb1="00000000" w:usb2="00000009" w:usb3="00000000" w:csb0="000001FF" w:csb1="00000000"/>
  </w:font>
  <w:font w:name="方正小标宋_GBK">
    <w:panose1 w:val="02000000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748E3">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E4FA5D">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4E4FA5D">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suff w:val="nothing"/>
      <w:lvlText w:val="第 %1 条"/>
      <w:lvlJc w:val="left"/>
      <w:pPr>
        <w:tabs>
          <w:tab w:val="left" w:pos="0"/>
        </w:tabs>
        <w:ind w:left="0" w:firstLine="0"/>
      </w:pPr>
      <w:rPr>
        <w:b/>
        <w:i w:val="0"/>
        <w:caps w:val="0"/>
        <w:smallCaps w:val="0"/>
        <w:strike w:val="0"/>
        <w:dstrike w:val="0"/>
        <w:vanish w:val="0"/>
        <w:color w:val="000000"/>
        <w:spacing w:val="20"/>
        <w:w w:val="100"/>
        <w:kern w:val="0"/>
        <w:position w:val="0"/>
        <w:sz w:val="28"/>
        <w:u w:val="none"/>
        <w:vertAlign w:val="baseline"/>
      </w:rPr>
    </w:lvl>
    <w:lvl w:ilvl="1" w:tentative="0">
      <w:start w:val="1"/>
      <w:numFmt w:val="decimal"/>
      <w:pStyle w:val="2"/>
      <w:isLgl/>
      <w:lvlText w:val="%1.%2"/>
      <w:lvlJc w:val="left"/>
      <w:pPr>
        <w:tabs>
          <w:tab w:val="left" w:pos="1260"/>
        </w:tabs>
        <w:ind w:left="1260" w:firstLine="0"/>
      </w:pPr>
      <w:rPr>
        <w:b/>
        <w:i w:val="0"/>
        <w:caps w:val="0"/>
        <w:smallCaps w:val="0"/>
        <w:strike w:val="0"/>
        <w:dstrike w:val="0"/>
        <w:vanish w:val="0"/>
        <w:color w:val="000000"/>
        <w:spacing w:val="0"/>
        <w:w w:val="100"/>
        <w:kern w:val="0"/>
        <w:position w:val="0"/>
        <w:sz w:val="22"/>
        <w:u w:val="none"/>
        <w:vertAlign w:val="baseline"/>
      </w:rPr>
    </w:lvl>
    <w:lvl w:ilvl="2" w:tentative="0">
      <w:start w:val="1"/>
      <w:numFmt w:val="decimal"/>
      <w:lvlText w:val="%3."/>
      <w:lvlJc w:val="left"/>
      <w:pPr>
        <w:tabs>
          <w:tab w:val="left" w:pos="1800"/>
        </w:tabs>
        <w:ind w:left="1440" w:firstLine="0"/>
      </w:pPr>
    </w:lvl>
    <w:lvl w:ilvl="3" w:tentative="0">
      <w:start w:val="1"/>
      <w:numFmt w:val="lowerLetter"/>
      <w:lvlText w:val="%4)"/>
      <w:lvlJc w:val="left"/>
      <w:pPr>
        <w:tabs>
          <w:tab w:val="left" w:pos="2520"/>
        </w:tabs>
        <w:ind w:left="2160" w:firstLine="0"/>
      </w:pPr>
    </w:lvl>
    <w:lvl w:ilvl="4" w:tentative="0">
      <w:start w:val="1"/>
      <w:numFmt w:val="decimal"/>
      <w:lvlText w:val="(%5)"/>
      <w:lvlJc w:val="left"/>
      <w:pPr>
        <w:tabs>
          <w:tab w:val="left" w:pos="3240"/>
        </w:tabs>
        <w:ind w:left="2880" w:firstLine="0"/>
      </w:pPr>
    </w:lvl>
    <w:lvl w:ilvl="5" w:tentative="0">
      <w:start w:val="1"/>
      <w:numFmt w:val="lowerLetter"/>
      <w:lvlText w:val="(%6)"/>
      <w:lvlJc w:val="left"/>
      <w:pPr>
        <w:tabs>
          <w:tab w:val="left" w:pos="3960"/>
        </w:tabs>
        <w:ind w:left="3600" w:firstLine="0"/>
      </w:pPr>
    </w:lvl>
    <w:lvl w:ilvl="6" w:tentative="0">
      <w:start w:val="1"/>
      <w:numFmt w:val="lowerRoman"/>
      <w:lvlText w:val="(%7)"/>
      <w:lvlJc w:val="left"/>
      <w:pPr>
        <w:tabs>
          <w:tab w:val="left" w:pos="4680"/>
        </w:tabs>
        <w:ind w:left="4320" w:firstLine="0"/>
      </w:pPr>
    </w:lvl>
    <w:lvl w:ilvl="7" w:tentative="0">
      <w:start w:val="1"/>
      <w:numFmt w:val="lowerLetter"/>
      <w:lvlText w:val="(%8)"/>
      <w:lvlJc w:val="left"/>
      <w:pPr>
        <w:tabs>
          <w:tab w:val="left" w:pos="5400"/>
        </w:tabs>
        <w:ind w:left="5040" w:firstLine="0"/>
      </w:pPr>
    </w:lvl>
    <w:lvl w:ilvl="8" w:tentative="0">
      <w:start w:val="1"/>
      <w:numFmt w:val="lowerRoman"/>
      <w:lvlText w:val="(%9)"/>
      <w:lvlJc w:val="left"/>
      <w:pPr>
        <w:tabs>
          <w:tab w:val="left" w:pos="6120"/>
        </w:tabs>
        <w:ind w:left="576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documentProtection w:enforcement="0"/>
  <w:defaultTabStop w:val="420"/>
  <w:drawingGridVerticalSpacing w:val="20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wN2UxNzdmYzhhYjg4MDZmOGI3MjNjZTA0MTg3MWUifQ=="/>
  </w:docVars>
  <w:rsids>
    <w:rsidRoot w:val="00F11E38"/>
    <w:rsid w:val="000475E7"/>
    <w:rsid w:val="00093D5D"/>
    <w:rsid w:val="000F4CA0"/>
    <w:rsid w:val="00121C26"/>
    <w:rsid w:val="00183AB9"/>
    <w:rsid w:val="001A3F4D"/>
    <w:rsid w:val="002005BC"/>
    <w:rsid w:val="00245898"/>
    <w:rsid w:val="002640E6"/>
    <w:rsid w:val="00284A41"/>
    <w:rsid w:val="00330423"/>
    <w:rsid w:val="003727CF"/>
    <w:rsid w:val="0038056C"/>
    <w:rsid w:val="00397A1B"/>
    <w:rsid w:val="003B4A61"/>
    <w:rsid w:val="003F3391"/>
    <w:rsid w:val="00404248"/>
    <w:rsid w:val="0054524B"/>
    <w:rsid w:val="00546D45"/>
    <w:rsid w:val="0057480A"/>
    <w:rsid w:val="005B5283"/>
    <w:rsid w:val="005D55B2"/>
    <w:rsid w:val="005D6520"/>
    <w:rsid w:val="005E15AB"/>
    <w:rsid w:val="005F7127"/>
    <w:rsid w:val="00664579"/>
    <w:rsid w:val="006E6810"/>
    <w:rsid w:val="006E69C3"/>
    <w:rsid w:val="007205CE"/>
    <w:rsid w:val="007D18FE"/>
    <w:rsid w:val="00942E2D"/>
    <w:rsid w:val="00963B3C"/>
    <w:rsid w:val="009D089D"/>
    <w:rsid w:val="00A4480D"/>
    <w:rsid w:val="00B02A26"/>
    <w:rsid w:val="00B055F5"/>
    <w:rsid w:val="00B83C7D"/>
    <w:rsid w:val="00CA2D2A"/>
    <w:rsid w:val="00CA7A05"/>
    <w:rsid w:val="00CC2226"/>
    <w:rsid w:val="00CD15F1"/>
    <w:rsid w:val="00D55078"/>
    <w:rsid w:val="00D905D5"/>
    <w:rsid w:val="00DA0938"/>
    <w:rsid w:val="00DA67BE"/>
    <w:rsid w:val="00DB116E"/>
    <w:rsid w:val="00DF5B36"/>
    <w:rsid w:val="00E33F22"/>
    <w:rsid w:val="00E42F7D"/>
    <w:rsid w:val="00EA50B4"/>
    <w:rsid w:val="00EB50AF"/>
    <w:rsid w:val="00EC6E55"/>
    <w:rsid w:val="00F11E38"/>
    <w:rsid w:val="00FB52EB"/>
    <w:rsid w:val="015E17F8"/>
    <w:rsid w:val="01876683"/>
    <w:rsid w:val="01BC5EB7"/>
    <w:rsid w:val="01D37F8B"/>
    <w:rsid w:val="02475D9C"/>
    <w:rsid w:val="02616A8C"/>
    <w:rsid w:val="034336E4"/>
    <w:rsid w:val="04B34B43"/>
    <w:rsid w:val="04CF6E24"/>
    <w:rsid w:val="04DA5EC7"/>
    <w:rsid w:val="056A1C9B"/>
    <w:rsid w:val="05D91507"/>
    <w:rsid w:val="061C6693"/>
    <w:rsid w:val="061D45DC"/>
    <w:rsid w:val="07243642"/>
    <w:rsid w:val="074B445E"/>
    <w:rsid w:val="076A644C"/>
    <w:rsid w:val="07C81BD2"/>
    <w:rsid w:val="07E956C4"/>
    <w:rsid w:val="095747AD"/>
    <w:rsid w:val="099730C7"/>
    <w:rsid w:val="09B51207"/>
    <w:rsid w:val="0AB8334F"/>
    <w:rsid w:val="0B7A4561"/>
    <w:rsid w:val="0B825036"/>
    <w:rsid w:val="0BC231FC"/>
    <w:rsid w:val="0C884A9F"/>
    <w:rsid w:val="0CD95D96"/>
    <w:rsid w:val="0CE355DA"/>
    <w:rsid w:val="0D520E57"/>
    <w:rsid w:val="0D781E29"/>
    <w:rsid w:val="0EB80619"/>
    <w:rsid w:val="0F5C1EE4"/>
    <w:rsid w:val="0F722BE5"/>
    <w:rsid w:val="0FCE2D6A"/>
    <w:rsid w:val="101C01C5"/>
    <w:rsid w:val="10FC1367"/>
    <w:rsid w:val="110620A9"/>
    <w:rsid w:val="110A4283"/>
    <w:rsid w:val="11AB600B"/>
    <w:rsid w:val="12AA1978"/>
    <w:rsid w:val="12B904A3"/>
    <w:rsid w:val="12DB7746"/>
    <w:rsid w:val="13434D2B"/>
    <w:rsid w:val="13775367"/>
    <w:rsid w:val="13C132AC"/>
    <w:rsid w:val="1461771E"/>
    <w:rsid w:val="14AF1AFB"/>
    <w:rsid w:val="153415E6"/>
    <w:rsid w:val="167F4C6E"/>
    <w:rsid w:val="16C7625E"/>
    <w:rsid w:val="17142269"/>
    <w:rsid w:val="174F1F61"/>
    <w:rsid w:val="17967340"/>
    <w:rsid w:val="17D47013"/>
    <w:rsid w:val="18FC23D8"/>
    <w:rsid w:val="1A3348C9"/>
    <w:rsid w:val="1A545A6E"/>
    <w:rsid w:val="1A753EF5"/>
    <w:rsid w:val="1ABA0B77"/>
    <w:rsid w:val="1AE24529"/>
    <w:rsid w:val="1BA90A6F"/>
    <w:rsid w:val="1C1776CF"/>
    <w:rsid w:val="1C1F19DF"/>
    <w:rsid w:val="1C5F2B1C"/>
    <w:rsid w:val="1C9C42F5"/>
    <w:rsid w:val="1CA03585"/>
    <w:rsid w:val="1CAE5BF3"/>
    <w:rsid w:val="1CF70F8B"/>
    <w:rsid w:val="1D077133"/>
    <w:rsid w:val="1F5E1538"/>
    <w:rsid w:val="1F9E1131"/>
    <w:rsid w:val="1FC9299D"/>
    <w:rsid w:val="20217AA9"/>
    <w:rsid w:val="20D42E3B"/>
    <w:rsid w:val="211B64D6"/>
    <w:rsid w:val="21790860"/>
    <w:rsid w:val="21E140A1"/>
    <w:rsid w:val="22E4624E"/>
    <w:rsid w:val="230061A3"/>
    <w:rsid w:val="23873AC2"/>
    <w:rsid w:val="241C17CD"/>
    <w:rsid w:val="243A2F7C"/>
    <w:rsid w:val="24C44CA4"/>
    <w:rsid w:val="253C1067"/>
    <w:rsid w:val="26337B27"/>
    <w:rsid w:val="26694EFF"/>
    <w:rsid w:val="26723654"/>
    <w:rsid w:val="26C27B03"/>
    <w:rsid w:val="26EB0AF7"/>
    <w:rsid w:val="274B0136"/>
    <w:rsid w:val="28061D38"/>
    <w:rsid w:val="284B1F1D"/>
    <w:rsid w:val="292E33FF"/>
    <w:rsid w:val="2A7054DC"/>
    <w:rsid w:val="2AF478B1"/>
    <w:rsid w:val="2B6029D3"/>
    <w:rsid w:val="2B92428B"/>
    <w:rsid w:val="2BB6387E"/>
    <w:rsid w:val="2BC03CD4"/>
    <w:rsid w:val="2BE973CE"/>
    <w:rsid w:val="2C021FE5"/>
    <w:rsid w:val="2C5A1CD2"/>
    <w:rsid w:val="2F6F03DC"/>
    <w:rsid w:val="2FC40B6D"/>
    <w:rsid w:val="2FCC22D6"/>
    <w:rsid w:val="30B336D4"/>
    <w:rsid w:val="3127642A"/>
    <w:rsid w:val="317B66BA"/>
    <w:rsid w:val="31943A79"/>
    <w:rsid w:val="319F5F79"/>
    <w:rsid w:val="3223425A"/>
    <w:rsid w:val="326A0AD0"/>
    <w:rsid w:val="341A6611"/>
    <w:rsid w:val="347B63A1"/>
    <w:rsid w:val="34825E35"/>
    <w:rsid w:val="34F65228"/>
    <w:rsid w:val="35F55D16"/>
    <w:rsid w:val="367D2BFC"/>
    <w:rsid w:val="36B53C57"/>
    <w:rsid w:val="375C6562"/>
    <w:rsid w:val="37BB5E0C"/>
    <w:rsid w:val="37FA3323"/>
    <w:rsid w:val="382924C5"/>
    <w:rsid w:val="388052BC"/>
    <w:rsid w:val="38BC3757"/>
    <w:rsid w:val="38FE64C2"/>
    <w:rsid w:val="396B0E81"/>
    <w:rsid w:val="399A358E"/>
    <w:rsid w:val="39C57654"/>
    <w:rsid w:val="39DA6EC5"/>
    <w:rsid w:val="3A22476C"/>
    <w:rsid w:val="3AF6384B"/>
    <w:rsid w:val="3C4C4EF7"/>
    <w:rsid w:val="3C761815"/>
    <w:rsid w:val="3CC16B8A"/>
    <w:rsid w:val="3CF1345D"/>
    <w:rsid w:val="3D4E034A"/>
    <w:rsid w:val="3D8A3804"/>
    <w:rsid w:val="3E2752E0"/>
    <w:rsid w:val="3F001E85"/>
    <w:rsid w:val="3F7E1A6B"/>
    <w:rsid w:val="3FCB5E99"/>
    <w:rsid w:val="3FDB6B76"/>
    <w:rsid w:val="40AF0342"/>
    <w:rsid w:val="41B143B0"/>
    <w:rsid w:val="426B4E65"/>
    <w:rsid w:val="426C70EB"/>
    <w:rsid w:val="42A6194F"/>
    <w:rsid w:val="42D32DB1"/>
    <w:rsid w:val="435876EB"/>
    <w:rsid w:val="43625B12"/>
    <w:rsid w:val="44134CD1"/>
    <w:rsid w:val="44DB4D47"/>
    <w:rsid w:val="44E36014"/>
    <w:rsid w:val="44F97B72"/>
    <w:rsid w:val="45365F0E"/>
    <w:rsid w:val="46365148"/>
    <w:rsid w:val="471517AC"/>
    <w:rsid w:val="47C92554"/>
    <w:rsid w:val="488717E9"/>
    <w:rsid w:val="49047C4A"/>
    <w:rsid w:val="494A11D7"/>
    <w:rsid w:val="49AB10AE"/>
    <w:rsid w:val="4A075D03"/>
    <w:rsid w:val="4A364F6C"/>
    <w:rsid w:val="4A5176B4"/>
    <w:rsid w:val="4B871AAC"/>
    <w:rsid w:val="4C4C69C9"/>
    <w:rsid w:val="4D8C0147"/>
    <w:rsid w:val="4DCD0317"/>
    <w:rsid w:val="4E7E503E"/>
    <w:rsid w:val="4F1869D4"/>
    <w:rsid w:val="4F547916"/>
    <w:rsid w:val="4F5F2AC5"/>
    <w:rsid w:val="4FE824A5"/>
    <w:rsid w:val="501E4010"/>
    <w:rsid w:val="502605F4"/>
    <w:rsid w:val="52F46DEF"/>
    <w:rsid w:val="53C664A1"/>
    <w:rsid w:val="53E95C18"/>
    <w:rsid w:val="54026EAB"/>
    <w:rsid w:val="544650DD"/>
    <w:rsid w:val="54990EA8"/>
    <w:rsid w:val="54EB7432"/>
    <w:rsid w:val="550A306A"/>
    <w:rsid w:val="5543522E"/>
    <w:rsid w:val="558B0C91"/>
    <w:rsid w:val="56AF0889"/>
    <w:rsid w:val="56F525B5"/>
    <w:rsid w:val="57571B0C"/>
    <w:rsid w:val="57F34903"/>
    <w:rsid w:val="582F1675"/>
    <w:rsid w:val="58467872"/>
    <w:rsid w:val="58627A01"/>
    <w:rsid w:val="59075581"/>
    <w:rsid w:val="59A275AD"/>
    <w:rsid w:val="59D13F3E"/>
    <w:rsid w:val="59F91C43"/>
    <w:rsid w:val="5A2E3F5A"/>
    <w:rsid w:val="5A5A5B50"/>
    <w:rsid w:val="5A7E3E82"/>
    <w:rsid w:val="5AA81CC5"/>
    <w:rsid w:val="5C264851"/>
    <w:rsid w:val="5EA63358"/>
    <w:rsid w:val="5EC0115A"/>
    <w:rsid w:val="5EC639D4"/>
    <w:rsid w:val="5EE07751"/>
    <w:rsid w:val="5EF22DEF"/>
    <w:rsid w:val="5FC873BE"/>
    <w:rsid w:val="5FD302AF"/>
    <w:rsid w:val="60D346AC"/>
    <w:rsid w:val="61597ECC"/>
    <w:rsid w:val="61747C73"/>
    <w:rsid w:val="62964BFD"/>
    <w:rsid w:val="62DA0CDC"/>
    <w:rsid w:val="639F1662"/>
    <w:rsid w:val="640E3D34"/>
    <w:rsid w:val="641414C0"/>
    <w:rsid w:val="64500020"/>
    <w:rsid w:val="64523523"/>
    <w:rsid w:val="64695954"/>
    <w:rsid w:val="66686FF8"/>
    <w:rsid w:val="67CA56E0"/>
    <w:rsid w:val="67D469E8"/>
    <w:rsid w:val="67F83622"/>
    <w:rsid w:val="68225D5B"/>
    <w:rsid w:val="68F16766"/>
    <w:rsid w:val="695B10AD"/>
    <w:rsid w:val="69D14212"/>
    <w:rsid w:val="69F00F66"/>
    <w:rsid w:val="6A4B7E0E"/>
    <w:rsid w:val="6A50688B"/>
    <w:rsid w:val="6B74762D"/>
    <w:rsid w:val="6B794260"/>
    <w:rsid w:val="6BA51E03"/>
    <w:rsid w:val="6BF05C3C"/>
    <w:rsid w:val="6C040C91"/>
    <w:rsid w:val="6C0F6E3C"/>
    <w:rsid w:val="6E373538"/>
    <w:rsid w:val="6E8C5B85"/>
    <w:rsid w:val="6F080FCC"/>
    <w:rsid w:val="6F303077"/>
    <w:rsid w:val="70B932EB"/>
    <w:rsid w:val="71837593"/>
    <w:rsid w:val="718F5971"/>
    <w:rsid w:val="71F567BE"/>
    <w:rsid w:val="72900DF9"/>
    <w:rsid w:val="729E6135"/>
    <w:rsid w:val="72B2645F"/>
    <w:rsid w:val="735EA6BF"/>
    <w:rsid w:val="73614ACA"/>
    <w:rsid w:val="73AA38DC"/>
    <w:rsid w:val="74225D1F"/>
    <w:rsid w:val="74731BFF"/>
    <w:rsid w:val="74AC4BF4"/>
    <w:rsid w:val="75040333"/>
    <w:rsid w:val="75474076"/>
    <w:rsid w:val="755D199D"/>
    <w:rsid w:val="75CE4E5B"/>
    <w:rsid w:val="75D22745"/>
    <w:rsid w:val="75D82CCE"/>
    <w:rsid w:val="76776330"/>
    <w:rsid w:val="76934B5F"/>
    <w:rsid w:val="77457655"/>
    <w:rsid w:val="777B1447"/>
    <w:rsid w:val="783172FE"/>
    <w:rsid w:val="78453AA6"/>
    <w:rsid w:val="78486A21"/>
    <w:rsid w:val="78AF7DA4"/>
    <w:rsid w:val="78C12245"/>
    <w:rsid w:val="78CA0F77"/>
    <w:rsid w:val="79025017"/>
    <w:rsid w:val="79596D67"/>
    <w:rsid w:val="79A07D9C"/>
    <w:rsid w:val="79E7795B"/>
    <w:rsid w:val="79EC32BE"/>
    <w:rsid w:val="7A594FBA"/>
    <w:rsid w:val="7B3040DF"/>
    <w:rsid w:val="7B841F9A"/>
    <w:rsid w:val="7C097710"/>
    <w:rsid w:val="7C4E697D"/>
    <w:rsid w:val="7C7936D4"/>
    <w:rsid w:val="7C7A0AC6"/>
    <w:rsid w:val="7C9838F9"/>
    <w:rsid w:val="7CAF5BC8"/>
    <w:rsid w:val="7D152852"/>
    <w:rsid w:val="7D5C493C"/>
    <w:rsid w:val="7D735DDA"/>
    <w:rsid w:val="7D785165"/>
    <w:rsid w:val="7D7D14C7"/>
    <w:rsid w:val="7DCA7725"/>
    <w:rsid w:val="7E880E31"/>
    <w:rsid w:val="7F266C9F"/>
    <w:rsid w:val="7F622443"/>
    <w:rsid w:val="7F83125A"/>
    <w:rsid w:val="FB56A07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2"/>
    <w:basedOn w:val="1"/>
    <w:next w:val="1"/>
    <w:qFormat/>
    <w:uiPriority w:val="0"/>
    <w:pPr>
      <w:keepNext/>
      <w:keepLines/>
      <w:widowControl/>
      <w:numPr>
        <w:ilvl w:val="1"/>
        <w:numId w:val="1"/>
      </w:numPr>
      <w:tabs>
        <w:tab w:val="left" w:pos="720"/>
      </w:tabs>
      <w:spacing w:after="240" w:line="240" w:lineRule="exact"/>
      <w:outlineLvl w:val="1"/>
    </w:pPr>
    <w:rPr>
      <w:b/>
      <w:color w:val="0000FF"/>
      <w:kern w:val="0"/>
      <w:sz w:val="22"/>
      <w:szCs w:val="22"/>
      <w:lang w:eastAsia="ko-KR"/>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Normal Indent"/>
    <w:basedOn w:val="1"/>
    <w:unhideWhenUsed/>
    <w:qFormat/>
    <w:uiPriority w:val="99"/>
    <w:pPr>
      <w:ind w:firstLine="420" w:firstLineChars="200"/>
    </w:pPr>
  </w:style>
  <w:style w:type="paragraph" w:styleId="4">
    <w:name w:val="annotation text"/>
    <w:basedOn w:val="1"/>
    <w:semiHidden/>
    <w:unhideWhenUsed/>
    <w:qFormat/>
    <w:uiPriority w:val="99"/>
    <w:pPr>
      <w:jc w:val="left"/>
    </w:pPr>
  </w:style>
  <w:style w:type="paragraph" w:styleId="5">
    <w:name w:val="Body Text"/>
    <w:basedOn w:val="1"/>
    <w:next w:val="1"/>
    <w:qFormat/>
    <w:uiPriority w:val="0"/>
    <w:pPr>
      <w:ind w:firstLine="1440"/>
    </w:pPr>
    <w:rPr>
      <w:rFonts w:eastAsia="Batang"/>
      <w:kern w:val="0"/>
      <w:sz w:val="22"/>
      <w:szCs w:val="22"/>
      <w:lang w:eastAsia="ko-KR"/>
    </w:rPr>
  </w:style>
  <w:style w:type="paragraph" w:styleId="6">
    <w:name w:val="Plain Text"/>
    <w:basedOn w:val="1"/>
    <w:qFormat/>
    <w:uiPriority w:val="0"/>
    <w:rPr>
      <w:rFonts w:hint="eastAsia" w:ascii="宋体" w:hAnsi="Courier New" w:cs="Courier New"/>
      <w:szCs w:val="21"/>
    </w:rPr>
  </w:style>
  <w:style w:type="paragraph" w:styleId="7">
    <w:name w:val="Date"/>
    <w:basedOn w:val="1"/>
    <w:next w:val="1"/>
    <w:link w:val="19"/>
    <w:unhideWhenUsed/>
    <w:qFormat/>
    <w:uiPriority w:val="99"/>
    <w:pPr>
      <w:ind w:left="100" w:leftChars="2500"/>
    </w:pPr>
    <w:rPr>
      <w:rFonts w:ascii="宋体" w:hAnsi="宋体" w:eastAsia="宋体" w:cs="Times New Roman"/>
      <w:color w:val="FF0000"/>
      <w:kern w:val="0"/>
      <w:sz w:val="28"/>
      <w:szCs w:val="28"/>
    </w:rPr>
  </w:style>
  <w:style w:type="paragraph" w:styleId="8">
    <w:name w:val="Balloon Text"/>
    <w:basedOn w:val="1"/>
    <w:link w:val="21"/>
    <w:semiHidden/>
    <w:unhideWhenUsed/>
    <w:qFormat/>
    <w:uiPriority w:val="99"/>
    <w:rPr>
      <w:rFonts w:ascii="宋体" w:eastAsia="宋体"/>
      <w:sz w:val="18"/>
      <w:szCs w:val="18"/>
    </w:rPr>
  </w:style>
  <w:style w:type="paragraph" w:styleId="9">
    <w:name w:val="footer"/>
    <w:basedOn w:val="1"/>
    <w:link w:val="18"/>
    <w:unhideWhenUsed/>
    <w:qFormat/>
    <w:uiPriority w:val="99"/>
    <w:pPr>
      <w:tabs>
        <w:tab w:val="center" w:pos="4153"/>
        <w:tab w:val="right" w:pos="8306"/>
      </w:tabs>
      <w:snapToGrid w:val="0"/>
      <w:jc w:val="left"/>
    </w:pPr>
    <w:rPr>
      <w:sz w:val="18"/>
      <w:szCs w:val="18"/>
    </w:rPr>
  </w:style>
  <w:style w:type="paragraph" w:styleId="10">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0"/>
    <w:pPr>
      <w:widowControl/>
      <w:spacing w:before="100" w:beforeAutospacing="1" w:after="100" w:afterAutospacing="1"/>
      <w:jc w:val="left"/>
    </w:pPr>
    <w:rPr>
      <w:rFonts w:ascii="Times" w:hAnsi="Times" w:cs="Times New Roman"/>
      <w:kern w:val="0"/>
      <w:sz w:val="20"/>
      <w:szCs w:val="20"/>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Hyperlink"/>
    <w:basedOn w:val="14"/>
    <w:semiHidden/>
    <w:unhideWhenUsed/>
    <w:qFormat/>
    <w:uiPriority w:val="99"/>
    <w:rPr>
      <w:color w:val="0000FF"/>
      <w:u w:val="single"/>
    </w:rPr>
  </w:style>
  <w:style w:type="character" w:customStyle="1" w:styleId="17">
    <w:name w:val="页眉 字符"/>
    <w:basedOn w:val="14"/>
    <w:link w:val="10"/>
    <w:qFormat/>
    <w:uiPriority w:val="99"/>
    <w:rPr>
      <w:sz w:val="18"/>
      <w:szCs w:val="18"/>
    </w:rPr>
  </w:style>
  <w:style w:type="character" w:customStyle="1" w:styleId="18">
    <w:name w:val="页脚 字符"/>
    <w:basedOn w:val="14"/>
    <w:link w:val="9"/>
    <w:qFormat/>
    <w:uiPriority w:val="99"/>
    <w:rPr>
      <w:sz w:val="18"/>
      <w:szCs w:val="18"/>
    </w:rPr>
  </w:style>
  <w:style w:type="character" w:customStyle="1" w:styleId="19">
    <w:name w:val="日期 字符"/>
    <w:basedOn w:val="14"/>
    <w:link w:val="7"/>
    <w:qFormat/>
    <w:uiPriority w:val="99"/>
    <w:rPr>
      <w:rFonts w:ascii="宋体" w:hAnsi="宋体" w:eastAsia="宋体" w:cs="Times New Roman"/>
      <w:color w:val="FF0000"/>
      <w:kern w:val="0"/>
      <w:sz w:val="28"/>
      <w:szCs w:val="28"/>
    </w:rPr>
  </w:style>
  <w:style w:type="character" w:customStyle="1" w:styleId="20">
    <w:name w:val="lake-fontsize-14"/>
    <w:basedOn w:val="14"/>
    <w:qFormat/>
    <w:uiPriority w:val="0"/>
  </w:style>
  <w:style w:type="character" w:customStyle="1" w:styleId="21">
    <w:name w:val="批注框文本 字符"/>
    <w:basedOn w:val="14"/>
    <w:link w:val="8"/>
    <w:semiHidden/>
    <w:qFormat/>
    <w:uiPriority w:val="99"/>
    <w:rPr>
      <w:rFonts w:ascii="宋体" w:eastAsia="宋体"/>
      <w:sz w:val="18"/>
      <w:szCs w:val="18"/>
    </w:rPr>
  </w:style>
  <w:style w:type="paragraph" w:customStyle="1" w:styleId="22">
    <w:name w:val="Revision"/>
    <w:hidden/>
    <w:semiHidden/>
    <w:qFormat/>
    <w:uiPriority w:val="99"/>
    <w:rPr>
      <w:rFonts w:asciiTheme="minorHAnsi" w:hAnsiTheme="minorHAnsi" w:eastAsiaTheme="minorEastAsia" w:cstheme="minorBidi"/>
      <w:kern w:val="2"/>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阿里巴巴</Company>
  <Pages>13</Pages>
  <Words>4755</Words>
  <Characters>4925</Characters>
  <Lines>10</Lines>
  <Paragraphs>2</Paragraphs>
  <TotalTime>13</TotalTime>
  <ScaleCrop>false</ScaleCrop>
  <LinksUpToDate>false</LinksUpToDate>
  <CharactersWithSpaces>4962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2014-12-02T11:18:00Z</dcterms:created>
  <dc:creator>小挪 潘</dc:creator>
  <cp:lastModifiedBy>龙瀛</cp:lastModifiedBy>
  <cp:lastPrinted>2024-02-19T10:53:00Z</cp:lastPrinted>
  <dcterms:modified xsi:type="dcterms:W3CDTF">2026-05-20T06:11:18Z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7BBA3919715462FF1088E869EDD87A29_43</vt:lpwstr>
  </property>
  <property fmtid="{D5CDD505-2E9C-101B-9397-08002B2CF9AE}" pid="4" name="KSOTemplateDocerSaveRecord">
    <vt:lpwstr>eyJoZGlkIjoiOTk2N2ZiOGYzMTlkYjZlZjE0MzNiMmUxZGYzMWY4M2QiLCJ1c2VySWQiOiI0MjA4Mzg0NzcifQ==</vt:lpwstr>
  </property>
</Properties>
</file>