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FF32A2">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14:paraId="5ED040D4">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3C12F0A4">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7BC259D7">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63FAAAFA">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34745706">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4711CD7D">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14:paraId="4214E106">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14:paraId="0B7D49AA">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14:paraId="636BB98C">
      <w:pPr>
        <w:spacing w:line="560" w:lineRule="exact"/>
        <w:rPr>
          <w:rFonts w:hint="eastAsia" w:asciiTheme="minorEastAsia" w:hAnsiTheme="minorEastAsia" w:eastAsiaTheme="minorEastAsia"/>
          <w:b/>
          <w:bCs/>
          <w:color w:val="000000" w:themeColor="text1"/>
          <w:sz w:val="48"/>
          <w:szCs w:val="48"/>
          <w14:textFill>
            <w14:solidFill>
              <w14:schemeClr w14:val="tx1"/>
            </w14:solidFill>
          </w14:textFill>
        </w:rPr>
      </w:pPr>
    </w:p>
    <w:p w14:paraId="050E079E">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14:paraId="5CEAD30C">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7EB849F0">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14:paraId="7B7F1DED">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14:paraId="4944EE4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贵州省</w:t>
      </w:r>
      <w:r>
        <w:rPr>
          <w:rFonts w:hint="eastAsia" w:asciiTheme="minorEastAsia" w:hAnsiTheme="minorEastAsia" w:eastAsiaTheme="minorEastAsia"/>
          <w:color w:val="000000" w:themeColor="text1"/>
          <w:sz w:val="28"/>
          <w:szCs w:val="28"/>
          <w14:textFill>
            <w14:solidFill>
              <w14:schemeClr w14:val="tx1"/>
            </w14:solidFill>
          </w14:textFill>
        </w:rPr>
        <w:t>分公司</w:t>
      </w:r>
    </w:p>
    <w:p w14:paraId="625B29ED">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p>
    <w:p w14:paraId="050953B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p>
    <w:p w14:paraId="0F26050A">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14A4D942">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14:paraId="0F8CF159">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14:paraId="0B2C758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14:paraId="0FE11C14">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14:paraId="2FDCE03E">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5C0F6F28">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66BDCCD8">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14:paraId="3A763BF0">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14:paraId="3E70969F">
      <w:pPr>
        <w:pStyle w:val="5"/>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14:paraId="3BAD3A57">
      <w:pPr>
        <w:pStyle w:val="5"/>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14:paraId="352EE1F1">
      <w:pPr>
        <w:numPr>
          <w:ilvl w:val="-1"/>
          <w:numId w:val="0"/>
        </w:numPr>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w:t>
      </w:r>
      <w:r>
        <w:rPr>
          <w:rFonts w:hint="eastAsia"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（2018）黔民初7号《民事判决书》确认甲方对</w:t>
      </w:r>
      <w:r>
        <w:rPr>
          <w:rFonts w:hint="default"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贵州省福明置业有限公司</w:t>
      </w:r>
      <w:r>
        <w:rPr>
          <w:rFonts w:hint="eastAsia"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w:t>
      </w:r>
      <w:r>
        <w:rPr>
          <w:rFonts w:hint="default"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郑榕</w:t>
      </w:r>
      <w:r>
        <w:rPr>
          <w:rFonts w:hint="eastAsia"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、张平享有一笔债权及从权利；</w:t>
      </w:r>
      <w:r>
        <w:rPr>
          <w:rFonts w:hint="default"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（2018）黔民初8号《民事判决书》</w:t>
      </w:r>
      <w:r>
        <w:rPr>
          <w:rFonts w:hint="eastAsia"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确认甲方对</w:t>
      </w:r>
      <w:r>
        <w:rPr>
          <w:rFonts w:hint="default"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贵州省福明置业有限公司</w:t>
      </w:r>
      <w:r>
        <w:rPr>
          <w:rFonts w:hint="eastAsia"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w:t>
      </w:r>
      <w:r>
        <w:rPr>
          <w:rFonts w:hint="default"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郑榕</w:t>
      </w:r>
      <w:r>
        <w:rPr>
          <w:rFonts w:hint="eastAsia" w:cs="Times New Roman" w:asciiTheme="minorEastAsia" w:hAnsiTheme="minorEastAsia" w:eastAsiaTheme="minorEastAsia"/>
          <w:color w:val="000000" w:themeColor="text1"/>
          <w:kern w:val="0"/>
          <w:sz w:val="28"/>
          <w:szCs w:val="28"/>
          <w:lang w:val="en-US" w:eastAsia="zh-CN" w:bidi="ar-SA"/>
          <w14:textFill>
            <w14:solidFill>
              <w14:schemeClr w14:val="tx1"/>
            </w14:solidFill>
          </w14:textFill>
        </w:rPr>
        <w:t>享有一笔债权及从权利。</w:t>
      </w:r>
    </w:p>
    <w:p w14:paraId="5713C64F">
      <w:pPr>
        <w:pStyle w:val="5"/>
        <w:tabs>
          <w:tab w:val="left" w:pos="8364"/>
        </w:tabs>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14:paraId="2A6BEE26">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14:paraId="2EB378BA">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14:paraId="56A663EA">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14:paraId="04FA99FA">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14:paraId="2842C8E9">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14:paraId="5538F423">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14:paraId="6E52840F">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1.1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，标的债权同时包括基准日前发生的甲方为实现债权而垫付的应由债务人承担的费用。</w:t>
      </w:r>
      <w:r>
        <w:rPr>
          <w:rFonts w:hint="eastAsia" w:asciiTheme="minorEastAsia" w:hAnsiTheme="minorEastAsia" w:eastAsiaTheme="minorEastAsia"/>
          <w:color w:val="000000" w:themeColor="text1"/>
          <w:kern w:val="0"/>
          <w:sz w:val="28"/>
          <w:szCs w:val="28"/>
          <w14:textFill>
            <w14:solidFill>
              <w14:schemeClr w14:val="tx1"/>
            </w14:solidFill>
          </w14:textFill>
        </w:rPr>
        <w:t>其他相关权益是指：交易基准日前，甲方因管理、处置需要可能已与《标的债权清单》中部分债务人（包括担保人）达成包括但不限于和解协议</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/执行笔录</w:t>
      </w:r>
      <w:r>
        <w:rPr>
          <w:rFonts w:hint="eastAsia" w:asciiTheme="minorEastAsia" w:hAnsiTheme="minorEastAsia" w:eastAsiaTheme="minorEastAsia"/>
          <w:color w:val="000000" w:themeColor="text1"/>
          <w:kern w:val="0"/>
          <w:sz w:val="28"/>
          <w:szCs w:val="28"/>
          <w14:textFill>
            <w14:solidFill>
              <w14:schemeClr w14:val="tx1"/>
            </w14:solidFill>
          </w14:textFill>
        </w:rPr>
        <w:t>，因此，乙方受让的对该等债务人（包括担保人）的债权，已从原始的</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w:t>
      </w:r>
      <w:r>
        <w:rPr>
          <w:rFonts w:hint="eastAsia" w:asciiTheme="minorEastAsia" w:hAnsiTheme="minorEastAsia" w:eastAsiaTheme="minorEastAsia"/>
          <w:color w:val="000000" w:themeColor="text1"/>
          <w:kern w:val="0"/>
          <w:sz w:val="28"/>
          <w:szCs w:val="28"/>
          <w14:textFill>
            <w14:solidFill>
              <w14:schemeClr w14:val="tx1"/>
            </w14:solidFill>
          </w14:textFill>
        </w:rPr>
        <w:t>协议、担保协议项下的债权，全部或部分转化为前述协议项下或法院生效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法律文书</w:t>
      </w:r>
      <w:r>
        <w:rPr>
          <w:rFonts w:hint="eastAsia" w:asciiTheme="minorEastAsia" w:hAnsiTheme="minorEastAsia" w:eastAsiaTheme="minorEastAsia"/>
          <w:color w:val="000000" w:themeColor="text1"/>
          <w:kern w:val="0"/>
          <w:sz w:val="28"/>
          <w:szCs w:val="28"/>
          <w14:textFill>
            <w14:solidFill>
              <w14:schemeClr w14:val="tx1"/>
            </w14:solidFill>
          </w14:textFill>
        </w:rPr>
        <w:t>所对应的权利</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标的债权不包括基准日前已以物抵债的（即便尚未办理过户），已处置相关资产的回款。标的债权</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相关信息见附件一《标的债权清单》。  </w:t>
      </w:r>
    </w:p>
    <w:p w14:paraId="0EDE5EBE">
      <w:pPr>
        <w:spacing w:line="560" w:lineRule="exact"/>
        <w:ind w:firstLine="562"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1.2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14:paraId="4793ADB8">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1.3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2025</w:t>
      </w:r>
      <w:r>
        <w:rPr>
          <w:rFonts w:hint="eastAsia" w:asciiTheme="minorEastAsia" w:hAnsiTheme="minorEastAsia" w:eastAsiaTheme="minorEastAsia"/>
          <w:color w:val="000000" w:themeColor="text1"/>
          <w:kern w:val="0"/>
          <w:sz w:val="28"/>
          <w:szCs w:val="28"/>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10</w:t>
      </w:r>
      <w:r>
        <w:rPr>
          <w:rFonts w:hint="eastAsia" w:asciiTheme="minorEastAsia" w:hAnsiTheme="minorEastAsia" w:eastAsiaTheme="minorEastAsia"/>
          <w:color w:val="000000" w:themeColor="text1"/>
          <w:kern w:val="0"/>
          <w:sz w:val="28"/>
          <w:szCs w:val="28"/>
          <w14:textFill>
            <w14:solidFill>
              <w14:schemeClr w14:val="tx1"/>
            </w14:solidFill>
          </w14:textFill>
        </w:rPr>
        <w:t>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31</w:t>
      </w:r>
      <w:r>
        <w:rPr>
          <w:rFonts w:hint="eastAsia" w:asciiTheme="minorEastAsia" w:hAnsiTheme="minorEastAsia" w:eastAsiaTheme="minorEastAsia"/>
          <w:color w:val="000000" w:themeColor="text1"/>
          <w:kern w:val="0"/>
          <w:sz w:val="28"/>
          <w:szCs w:val="28"/>
          <w14:textFill>
            <w14:solidFill>
              <w14:schemeClr w14:val="tx1"/>
            </w14:solidFill>
          </w14:textFill>
        </w:rPr>
        <w:t>日。</w:t>
      </w:r>
    </w:p>
    <w:p w14:paraId="7658A6F0">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1.4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14:paraId="5EE4639C">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14:paraId="7D8469E0">
      <w:pPr>
        <w:snapToGrid w:val="0"/>
        <w:spacing w:line="560" w:lineRule="exact"/>
        <w:ind w:firstLine="480" w:firstLineChars="200"/>
        <w:rPr>
          <w:rFonts w:eastAsia="华文楷体"/>
          <w:color w:val="000000" w:themeColor="text1"/>
          <w:sz w:val="24"/>
          <w14:textFill>
            <w14:solidFill>
              <w14:schemeClr w14:val="tx1"/>
            </w14:solidFill>
          </w14:textFill>
        </w:rPr>
      </w:pPr>
    </w:p>
    <w:p w14:paraId="65B7A9C0">
      <w:pPr>
        <w:pStyle w:val="5"/>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14:paraId="5B73EA4B">
      <w:pPr>
        <w:spacing w:line="56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2.1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甲方同意按照标的债权的现状向乙方整体出让标的债权，乙方同意按照本协议规定受让标的债权。</w:t>
      </w:r>
    </w:p>
    <w:p w14:paraId="67911EF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14:paraId="163B6C0C">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 陆亿壹仟伍佰捌拾玖万零陆佰玖拾玖元柒角伍分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615</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,890,69</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9.75</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default" w:asciiTheme="minorEastAsia" w:hAnsiTheme="minorEastAsia" w:eastAsiaTheme="minorEastAsia"/>
          <w:color w:val="000000" w:themeColor="text1"/>
          <w:sz w:val="28"/>
          <w:szCs w:val="28"/>
          <w:lang w:val="en-US"/>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壹亿捌仟陆佰伍拾捌万壹仟零玖拾壹元肆角</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186</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,581,091.40</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default" w:asciiTheme="minorEastAsia" w:hAnsiTheme="minorEastAsia" w:eastAsiaTheme="minorEastAsia"/>
          <w:color w:val="000000" w:themeColor="text1"/>
          <w:sz w:val="28"/>
          <w:szCs w:val="28"/>
          <w:lang w:val="en-US"/>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肆亿贰仟玖佰叁拾万零玖仟陆佰零捌元叁角伍分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default" w:asciiTheme="minorEastAsia" w:hAnsiTheme="minorEastAsia" w:eastAsiaTheme="minorEastAsia"/>
          <w:color w:val="000000" w:themeColor="text1"/>
          <w:sz w:val="28"/>
          <w:szCs w:val="28"/>
          <w:lang w:val="en-US"/>
          <w14:textFill>
            <w14:solidFill>
              <w14:schemeClr w14:val="tx1"/>
            </w14:solidFill>
          </w14:textFill>
        </w:rPr>
        <w:t>429,309,608.35</w:t>
      </w:r>
      <w:r>
        <w:rPr>
          <w:rFonts w:asciiTheme="minorEastAsia" w:hAnsiTheme="minorEastAsia" w:eastAsiaTheme="minorEastAsia"/>
          <w:color w:val="000000" w:themeColor="text1"/>
          <w:sz w:val="28"/>
          <w:szCs w:val="28"/>
          <w14:textFill>
            <w14:solidFill>
              <w14:schemeClr w14:val="tx1"/>
            </w14:solidFill>
          </w14:textFill>
        </w:rPr>
        <w:t>）。</w:t>
      </w:r>
    </w:p>
    <w:p w14:paraId="2365C59C">
      <w:pPr>
        <w:tabs>
          <w:tab w:val="left" w:pos="0"/>
        </w:tabs>
        <w:topLinePunct/>
        <w:snapToGrid w:val="0"/>
        <w:spacing w:line="560" w:lineRule="exact"/>
        <w:ind w:right="-85"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司法</w:t>
      </w:r>
      <w:r>
        <w:rPr>
          <w:rFonts w:asciiTheme="minorEastAsia" w:hAnsiTheme="minorEastAsia" w:eastAsiaTheme="minorEastAsia"/>
          <w:color w:val="000000" w:themeColor="text1"/>
          <w:sz w:val="28"/>
          <w:szCs w:val="28"/>
          <w14:textFill>
            <w14:solidFill>
              <w14:schemeClr w14:val="tx1"/>
            </w14:solidFill>
          </w14:textFill>
        </w:rPr>
        <w:t>评估费）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人民币</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柒万零陆佰肆拾元整（</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default" w:asciiTheme="minorEastAsia" w:hAnsiTheme="minorEastAsia" w:eastAsiaTheme="minorEastAsia"/>
          <w:color w:val="000000" w:themeColor="text1"/>
          <w:sz w:val="28"/>
          <w:szCs w:val="28"/>
          <w:lang w:val="en-US"/>
          <w14:textFill>
            <w14:solidFill>
              <w14:schemeClr w14:val="tx1"/>
            </w14:solidFill>
          </w14:textFill>
        </w:rPr>
        <w:t>70,640.00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）随主债权</w:t>
      </w:r>
      <w:r>
        <w:rPr>
          <w:rFonts w:asciiTheme="minorEastAsia" w:hAnsiTheme="minorEastAsia" w:eastAsiaTheme="minorEastAsia"/>
          <w:color w:val="000000" w:themeColor="text1"/>
          <w:sz w:val="28"/>
          <w:szCs w:val="28"/>
          <w14:textFill>
            <w14:solidFill>
              <w14:schemeClr w14:val="tx1"/>
            </w14:solidFill>
          </w14:textFill>
        </w:rPr>
        <w:t>一并转让。</w:t>
      </w:r>
    </w:p>
    <w:p w14:paraId="73DD4071">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2025</w:t>
      </w:r>
      <w:r>
        <w:rPr>
          <w:rFonts w:hint="eastAsia" w:asciiTheme="minorEastAsia" w:hAnsiTheme="minorEastAsia" w:eastAsiaTheme="minorEastAsia"/>
          <w:b/>
          <w:bCs/>
          <w:color w:val="000000" w:themeColor="text1"/>
          <w:sz w:val="28"/>
          <w:szCs w:val="28"/>
          <w14:textFill>
            <w14:solidFill>
              <w14:schemeClr w14:val="tx1"/>
            </w14:solidFill>
          </w14:textFill>
        </w:rPr>
        <w:t>年</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b/>
          <w:bCs/>
          <w:color w:val="000000" w:themeColor="text1"/>
          <w:sz w:val="28"/>
          <w:szCs w:val="28"/>
          <w14:textFill>
            <w14:solidFill>
              <w14:schemeClr w14:val="tx1"/>
            </w14:solidFill>
          </w14:textFill>
        </w:rPr>
        <w:t>月</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31</w:t>
      </w:r>
      <w:r>
        <w:rPr>
          <w:rFonts w:hint="eastAsia" w:asciiTheme="minorEastAsia" w:hAnsiTheme="minorEastAsia" w:eastAsiaTheme="minorEastAsia"/>
          <w:b/>
          <w:bCs/>
          <w:color w:val="000000" w:themeColor="text1"/>
          <w:sz w:val="28"/>
          <w:szCs w:val="28"/>
          <w14:textFill>
            <w14:solidFill>
              <w14:schemeClr w14:val="tx1"/>
            </w14:solidFill>
          </w14:textFill>
        </w:rPr>
        <w:t>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14:paraId="365B84F8">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2.4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14:paraId="7F39A102">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2.5</w:t>
      </w:r>
      <w:r>
        <w:rPr>
          <w:rFonts w:hint="eastAsia" w:asciiTheme="minorEastAsia" w:hAnsiTheme="minorEastAsia" w:eastAsiaTheme="minorEastAsia"/>
          <w:color w:val="000000" w:themeColor="text1"/>
          <w:kern w:val="0"/>
          <w:sz w:val="28"/>
          <w:szCs w:val="28"/>
          <w:lang w:val="en-US" w:eastAsia="zh-CN" w:bidi="ar"/>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 在交易基准日的次日起，标的债权发生现金收回的，甲方有权选择按照如下方式处理： </w:t>
      </w:r>
    </w:p>
    <w:p w14:paraId="1BE0EDDF">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14:paraId="3395B117">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14:paraId="69DDC5B9">
      <w:pPr>
        <w:snapToGrid w:val="0"/>
        <w:spacing w:line="560" w:lineRule="exact"/>
        <w:ind w:firstLine="565" w:firstLineChars="20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14:paraId="21A28E8D">
      <w:pPr>
        <w:snapToGrid w:val="0"/>
        <w:spacing w:line="560" w:lineRule="exact"/>
        <w:ind w:firstLine="565" w:firstLineChars="202"/>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【如采用分期付款方式的，该条表述为：扣除本协议约定的应由乙方承担的而已由甲方垫付的费用后，该等款项冲抵转让价款的尾款；】</w:t>
      </w:r>
    </w:p>
    <w:p w14:paraId="55482222">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（4）其他甲方认为适合的方式。</w:t>
      </w:r>
    </w:p>
    <w:p w14:paraId="337BA115">
      <w:pPr>
        <w:widowControl/>
        <w:spacing w:line="520" w:lineRule="exact"/>
        <w:ind w:firstLine="555"/>
        <w:rPr>
          <w:rFonts w:hint="default" w:cs="Times New Roman" w:asciiTheme="minorEastAsia" w:hAnsiTheme="minorEastAsia" w:eastAsia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sz w:val="28"/>
          <w:szCs w:val="28"/>
          <w:lang w:val="en-US" w:eastAsia="zh-CN"/>
          <w14:textFill>
            <w14:solidFill>
              <w14:schemeClr w14:val="tx1"/>
            </w14:solidFill>
          </w14:textFill>
        </w:rPr>
        <w:t>2.6  除上述现金流外，自交易基准日的次日起发生的非现金收益，在乙方付清全部转让价款后，由甲方在交割期间一并转交给乙方。</w:t>
      </w:r>
    </w:p>
    <w:p w14:paraId="5C0D48DE">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0" w:name="_Toc67459782"/>
      <w:bookmarkStart w:id="1" w:name="_Toc67385974"/>
      <w:bookmarkStart w:id="2" w:name="_Toc36022322"/>
      <w:bookmarkStart w:id="3" w:name="_Toc67718726"/>
      <w:r>
        <w:rPr>
          <w:rFonts w:hint="eastAsia" w:asciiTheme="minorEastAsia" w:hAnsiTheme="minorEastAsia" w:eastAsiaTheme="minorEastAsia"/>
          <w:b/>
          <w:bCs/>
          <w:color w:val="000000" w:themeColor="text1"/>
          <w:sz w:val="28"/>
          <w:szCs w:val="28"/>
          <w14:textFill>
            <w14:solidFill>
              <w14:schemeClr w14:val="tx1"/>
            </w14:solidFill>
          </w14:textFill>
        </w:rPr>
        <w:t>第三条  债权转让价款及付款</w:t>
      </w:r>
    </w:p>
    <w:p w14:paraId="3516AB54">
      <w:pPr>
        <w:spacing w:line="560" w:lineRule="exact"/>
        <w:ind w:firstLine="562" w:firstLineChars="200"/>
        <w:outlineLvl w:val="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3</w:t>
      </w:r>
      <w:r>
        <w:rPr>
          <w:rFonts w:asciiTheme="minorEastAsia" w:hAnsiTheme="minorEastAsia" w:eastAsiaTheme="minorEastAsia"/>
          <w:b/>
          <w:bCs/>
          <w:color w:val="000000" w:themeColor="text1"/>
          <w:sz w:val="28"/>
          <w:szCs w:val="28"/>
          <w:highlight w:val="none"/>
          <w14:textFill>
            <w14:solidFill>
              <w14:schemeClr w14:val="tx1"/>
            </w14:solidFill>
          </w14:textFill>
        </w:rPr>
        <w:t>.1</w:t>
      </w:r>
      <w:bookmarkStart w:id="4" w:name="_DV_M53"/>
      <w:bookmarkEnd w:id="4"/>
      <w:bookmarkStart w:id="5" w:name="_DV_M50"/>
      <w:bookmarkEnd w:id="5"/>
      <w:bookmarkStart w:id="6" w:name="_DV_M51"/>
      <w:bookmarkEnd w:id="6"/>
      <w:bookmarkStart w:id="7" w:name="_DV_M49"/>
      <w:bookmarkEnd w:id="7"/>
      <w:bookmarkStart w:id="8" w:name="_Hlt99790241"/>
      <w:bookmarkEnd w:id="8"/>
      <w:bookmarkStart w:id="9" w:name="_DV_M52"/>
      <w:bookmarkEnd w:id="9"/>
      <w:r>
        <w:rPr>
          <w:rFonts w:hint="eastAsia" w:asciiTheme="minorEastAsia" w:hAnsiTheme="minorEastAsia" w:eastAsiaTheme="minorEastAsia"/>
          <w:b/>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债权转让价款</w:t>
      </w:r>
    </w:p>
    <w:p w14:paraId="1DA17618">
      <w:pPr>
        <w:spacing w:line="560" w:lineRule="exact"/>
        <w:ind w:firstLine="560" w:firstLineChars="200"/>
        <w:outlineLvl w:val="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各方一致同意，本协议项下标的债权的转让价款为人民币[          ]元（小写：¥[          ]）。</w:t>
      </w:r>
    </w:p>
    <w:p w14:paraId="1B9F8A21">
      <w:pPr>
        <w:spacing w:line="560" w:lineRule="exact"/>
        <w:ind w:firstLine="562" w:firstLineChars="200"/>
        <w:outlineLvl w:val="0"/>
        <w:rPr>
          <w:rFonts w:hint="eastAsia" w:asciiTheme="minorEastAsia" w:hAnsiTheme="minorEastAsia" w:eastAsiaTheme="minorEastAsia"/>
          <w:b/>
          <w:bCs/>
          <w:color w:val="000000" w:themeColor="text1"/>
          <w:sz w:val="28"/>
          <w:szCs w:val="28"/>
          <w:highlight w:val="none"/>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highlight w:val="none"/>
          <w14:textFill>
            <w14:solidFill>
              <w14:schemeClr w14:val="tx1"/>
            </w14:solidFill>
          </w14:textFill>
        </w:rPr>
        <w:t>3.2</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 xml:space="preserve"> </w:t>
      </w:r>
      <w:r>
        <w:rPr>
          <w:rFonts w:asciiTheme="minorEastAsia" w:hAnsiTheme="minorEastAsia" w:eastAsiaTheme="minorEastAsia"/>
          <w:b/>
          <w:bCs/>
          <w:color w:val="000000" w:themeColor="text1"/>
          <w:sz w:val="28"/>
          <w:szCs w:val="28"/>
          <w:highlight w:val="none"/>
          <w14:textFill>
            <w14:solidFill>
              <w14:schemeClr w14:val="tx1"/>
            </w14:solidFill>
          </w14:textFill>
        </w:rPr>
        <w:t>付款</w:t>
      </w:r>
      <w:bookmarkEnd w:id="10"/>
    </w:p>
    <w:p w14:paraId="174FA02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3.2.1 </w:t>
      </w:r>
      <w:r>
        <w:rPr>
          <w:rFonts w:hint="eastAsia" w:asciiTheme="minorEastAsia" w:hAnsiTheme="minorEastAsia" w:eastAsia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乙方应在自</w:t>
      </w:r>
      <w:r>
        <w:rPr>
          <w:rFonts w:hint="eastAsia" w:asciiTheme="minorEastAsia" w:hAnsiTheme="minorEastAsia" w:eastAsiaTheme="minorEastAsia"/>
          <w:color w:val="000000" w:themeColor="text1"/>
          <w:sz w:val="28"/>
          <w:szCs w:val="28"/>
          <w14:textFill>
            <w14:solidFill>
              <w14:schemeClr w14:val="tx1"/>
            </w14:solidFill>
          </w14:textFill>
        </w:rPr>
        <w:t>本协议生效之日起的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14:paraId="4D47B73D">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14:paraId="4C3EE95E">
      <w:pPr>
        <w:pStyle w:val="29"/>
        <w:widowControl w:val="0"/>
        <w:spacing w:line="560" w:lineRule="exact"/>
        <w:ind w:firstLine="560" w:firstLineChars="200"/>
        <w:rPr>
          <w:rFonts w:hint="eastAsia" w:asciiTheme="minorEastAsia" w:hAnsiTheme="minorEastAsia" w:eastAsiaTheme="minorEastAsia"/>
          <w:bCs/>
          <w:color w:val="000000" w:themeColor="text1"/>
          <w:sz w:val="28"/>
          <w:szCs w:val="28"/>
          <w:highlight w:val="yellow"/>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【分期付款条件下采用此表述：</w:t>
      </w:r>
      <w:r>
        <w:rPr>
          <w:rFonts w:hint="eastAsia" w:asciiTheme="minorEastAsia" w:hAnsiTheme="minorEastAsia" w:eastAsiaTheme="minorEastAsia"/>
          <w:bCs/>
          <w:color w:val="000000" w:themeColor="text1"/>
          <w:sz w:val="28"/>
          <w:szCs w:val="28"/>
          <w:highlight w:val="none"/>
          <w:lang w:val="en-US" w:eastAsia="zh-CN"/>
          <w14:textFill>
            <w14:solidFill>
              <w14:schemeClr w14:val="tx1"/>
            </w14:solidFill>
          </w14:textFill>
        </w:rPr>
        <w:t>乙方应在《债权转让协议》签订后3个工作日内向甲方支付转让价款的首付款，首付款不低于转让价款的30%，剩余应付未付转让价款于本协议签订后的两年内支付完毕，同时需向甲方缴纳资金占用费（资金占用费以应付未付转让价款为基数按照5%/年的标准，向甲方支付）。】</w:t>
      </w:r>
    </w:p>
    <w:p w14:paraId="1C8FDB76">
      <w:pPr>
        <w:pStyle w:val="29"/>
        <w:widowControl w:val="0"/>
        <w:spacing w:line="560" w:lineRule="exact"/>
        <w:ind w:firstLine="425" w:firstLineChars="152"/>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bCs/>
          <w:color w:val="000000" w:themeColor="text1"/>
          <w:sz w:val="28"/>
          <w:szCs w:val="28"/>
          <w:highlight w:val="none"/>
          <w14:textFill>
            <w14:solidFill>
              <w14:schemeClr w14:val="tx1"/>
            </w14:solidFill>
          </w14:textFill>
        </w:rPr>
        <w:t>3.2.2</w:t>
      </w:r>
      <w:r>
        <w:rPr>
          <w:rFonts w:hint="eastAsia" w:asciiTheme="minorEastAsia" w:hAnsiTheme="minorEastAsia" w:eastAsia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甲方的指定账户为：</w:t>
      </w:r>
    </w:p>
    <w:p w14:paraId="6C7D6FF8">
      <w:pPr>
        <w:pStyle w:val="29"/>
        <w:widowControl w:val="0"/>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开户银行：</w:t>
      </w:r>
    </w:p>
    <w:p w14:paraId="1B2801CB">
      <w:pPr>
        <w:pStyle w:val="29"/>
        <w:widowControl w:val="0"/>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户名：</w:t>
      </w:r>
    </w:p>
    <w:p w14:paraId="70904684">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p>
    <w:p w14:paraId="6B382698">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14:paraId="2237C3E9">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人民币壹佰万元整（小写：¥</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,000,000.00</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p>
    <w:p w14:paraId="13EF3DFA">
      <w:pPr>
        <w:snapToGrid w:val="0"/>
        <w:spacing w:line="560" w:lineRule="exact"/>
        <w:ind w:firstLine="565" w:firstLineChars="202"/>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 xml:space="preserve">2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w:t>
      </w:r>
      <w:r>
        <w:rPr>
          <w:rFonts w:hint="eastAsia" w:asciiTheme="minorEastAsia" w:hAnsiTheme="minorEastAsia" w:eastAsiaTheme="minorEastAsia"/>
          <w:color w:val="000000" w:themeColor="text1"/>
          <w:sz w:val="28"/>
          <w:szCs w:val="28"/>
          <w:highlight w:val="none"/>
          <w14:textFill>
            <w14:solidFill>
              <w14:schemeClr w14:val="tx1"/>
            </w14:solidFill>
          </w14:textFill>
        </w:rPr>
        <w:t>；采用分期付款方式的，该保证金折抵为转让价款的尾款。</w:t>
      </w:r>
    </w:p>
    <w:p w14:paraId="07A8AA7C">
      <w:pPr>
        <w:snapToGrid w:val="0"/>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竞价公告</w:t>
      </w:r>
      <w:r>
        <w:rPr>
          <w:rFonts w:hint="eastAsia" w:asciiTheme="minorEastAsia" w:hAnsiTheme="minorEastAsia" w:eastAsiaTheme="minorEastAsia"/>
          <w:b/>
          <w:bCs/>
          <w:color w:val="000000" w:themeColor="text1"/>
          <w:sz w:val="28"/>
          <w:szCs w:val="28"/>
          <w14:textFill>
            <w14:solidFill>
              <w14:schemeClr w14:val="tx1"/>
            </w14:solidFill>
          </w14:textFill>
        </w:rPr>
        <w:t>》、《竞</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买</w:t>
      </w:r>
      <w:r>
        <w:rPr>
          <w:rFonts w:hint="eastAsia" w:asciiTheme="minorEastAsia" w:hAnsiTheme="minorEastAsia" w:eastAsiaTheme="minorEastAsia"/>
          <w:b/>
          <w:bCs/>
          <w:color w:val="000000" w:themeColor="text1"/>
          <w:sz w:val="28"/>
          <w:szCs w:val="28"/>
          <w14:textFill>
            <w14:solidFill>
              <w14:schemeClr w14:val="tx1"/>
            </w14:solidFill>
          </w14:textFill>
        </w:rPr>
        <w:t>须知》、《保密承诺函》等文件的行为，甲方有权没收乙方全部交易保证金。</w:t>
      </w:r>
    </w:p>
    <w:p w14:paraId="37467535">
      <w:pPr>
        <w:adjustRightInd w:val="0"/>
        <w:snapToGrid w:val="0"/>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不做扣减</w:t>
      </w:r>
      <w:bookmarkEnd w:id="11"/>
    </w:p>
    <w:p w14:paraId="712E2DB5">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14:paraId="384CEF23">
      <w:pPr>
        <w:pStyle w:val="29"/>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718733"/>
      <w:bookmarkStart w:id="13" w:name="_Toc67459789"/>
      <w:bookmarkStart w:id="14" w:name="_Toc67385981"/>
      <w:bookmarkStart w:id="15" w:name="_Toc36022336"/>
      <w:bookmarkStart w:id="16" w:name="_Toc58517669"/>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w:t>
      </w:r>
      <w:r>
        <w:rPr>
          <w:rFonts w:hint="eastAsia" w:asciiTheme="minorEastAsia" w:hAnsiTheme="minorEastAsia" w:eastAsiaTheme="minorEastAsia"/>
          <w:b/>
          <w:bCs/>
          <w:snapToGrid/>
          <w:color w:val="000000" w:themeColor="text1"/>
          <w:kern w:val="2"/>
          <w:sz w:val="28"/>
          <w:szCs w:val="28"/>
          <w:lang w:val="en-US" w:eastAsia="zh-CN"/>
          <w14:textFill>
            <w14:solidFill>
              <w14:schemeClr w14:val="tx1"/>
            </w14:solidFill>
          </w14:textFill>
        </w:rPr>
        <w:t xml:space="preserve"> </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14:paraId="1AEC528A">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各方应当依照有关法律法规规定，各自承担与本次债权转让有关的任何税费。</w:t>
      </w:r>
    </w:p>
    <w:p w14:paraId="1E77BDB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14:paraId="1ECAF4E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0E69EE4A">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第四条  过渡期及交割完毕前标的债权的管理和处置</w:t>
      </w:r>
    </w:p>
    <w:p w14:paraId="7B2A3B9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14:paraId="6133D835">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14:paraId="74DF78F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14:paraId="4594A8E1">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在过渡期内，甲方因管理处置和维护标的债权而产生的相关费用（包括：</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诉讼费、评估费等</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14:paraId="339E2B8B">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14:paraId="316A0FAB">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14:paraId="4862A152">
      <w:pPr>
        <w:spacing w:line="560" w:lineRule="exact"/>
        <w:ind w:firstLine="562" w:firstLineChars="200"/>
        <w:rPr>
          <w:rFonts w:hint="default" w:asciiTheme="minorEastAsia" w:hAnsiTheme="minorEastAsia" w:eastAsia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w:t>
      </w:r>
      <w:bookmarkStart w:id="32" w:name="_GoBack"/>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如为分期付款的：</w:t>
      </w:r>
      <w:bookmarkEnd w:id="32"/>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4.7  关于分期付款的过渡期特别安排</w:t>
      </w:r>
    </w:p>
    <w:p w14:paraId="47E8694D">
      <w:pPr>
        <w:spacing w:line="560" w:lineRule="exact"/>
        <w:ind w:firstLine="562"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乙方采取分期付款的，若在过渡期内实现债权回现的，甲方在第一时间将回现金额归集到甲方账户内，做标的债权的债务偿还准备以及相关台账管理。待乙方拟履行分期义务完成时，甲方将过渡期期间收到的回现金额按本协议2.5条处理。过渡期期间甲方继续负责对标的债权的日常管理及维护，可不再主动处置，如涉及必要诉讼、执行、保全程序，相关费用由乙方承担。】</w:t>
      </w:r>
    </w:p>
    <w:p w14:paraId="74A79A2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744CD24C">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14:paraId="40C169D7">
      <w:pPr>
        <w:pStyle w:val="28"/>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w:t>
      </w:r>
      <w:r>
        <w:rPr>
          <w:rFonts w:hint="eastAsia" w:asciiTheme="minorEastAsia" w:hAnsiTheme="minorEastAsia"/>
          <w:b/>
          <w:color w:val="000000" w:themeColor="text1"/>
          <w:kern w:val="2"/>
          <w:sz w:val="28"/>
          <w:szCs w:val="28"/>
          <w:lang w:val="en-US" w:eastAsia="zh-CN"/>
          <w14:textFill>
            <w14:solidFill>
              <w14:schemeClr w14:val="tx1"/>
            </w14:solidFill>
          </w14:textFill>
        </w:rPr>
        <w:t xml:space="preserve"> </w:t>
      </w:r>
      <w:r>
        <w:rPr>
          <w:rFonts w:hint="eastAsia" w:asciiTheme="minorEastAsia" w:hAnsiTheme="minorEastAsia"/>
          <w:b/>
          <w:color w:val="000000" w:themeColor="text1"/>
          <w:kern w:val="2"/>
          <w:sz w:val="28"/>
          <w:szCs w:val="28"/>
          <w14:textFill>
            <w14:solidFill>
              <w14:schemeClr w14:val="tx1"/>
            </w14:solidFill>
          </w14:textFill>
        </w:rPr>
        <w:t>交割</w:t>
      </w:r>
      <w:bookmarkEnd w:id="18"/>
    </w:p>
    <w:p w14:paraId="1A024D76">
      <w:pPr>
        <w:pStyle w:val="28"/>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14:paraId="02E9AD1B">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交割的前提条件</w:t>
      </w:r>
    </w:p>
    <w:p w14:paraId="38255E8A">
      <w:pPr>
        <w:pStyle w:val="28"/>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14:paraId="4C4E720B">
      <w:pPr>
        <w:pStyle w:val="28"/>
        <w:tabs>
          <w:tab w:val="left" w:pos="7980"/>
          <w:tab w:val="left" w:pos="8200"/>
        </w:tabs>
        <w:spacing w:before="0" w:after="0" w:line="560" w:lineRule="exact"/>
        <w:ind w:right="-92" w:rightChars="-44" w:firstLine="560" w:firstLineChars="20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（1）甲方和乙方已在所有重要方面履行并遵守其各自在本协议项下的交割前应履行的全部承诺和保证；</w:t>
      </w:r>
    </w:p>
    <w:p w14:paraId="267EECD4">
      <w:pPr>
        <w:pStyle w:val="28"/>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p>
    <w:p w14:paraId="49FF95E1">
      <w:pPr>
        <w:pStyle w:val="5"/>
      </w:pPr>
    </w:p>
    <w:p w14:paraId="4294061A">
      <w:pPr>
        <w:pStyle w:val="2"/>
        <w:keepNext w:val="0"/>
        <w:keepLines w:val="0"/>
        <w:widowControl w:val="0"/>
        <w:numPr>
          <w:ilvl w:val="1"/>
          <w:numId w:val="0"/>
        </w:numPr>
        <w:spacing w:after="0" w:line="560" w:lineRule="exact"/>
        <w:ind w:firstLine="562"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highlight w:val="none"/>
          <w14:textFill>
            <w14:solidFill>
              <w14:schemeClr w14:val="tx1"/>
            </w14:solidFill>
          </w14:textFill>
        </w:rPr>
        <w:t>时间</w:t>
      </w:r>
    </w:p>
    <w:p w14:paraId="3A7F23D7">
      <w:pPr>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5.3.1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各方应自</w:t>
      </w:r>
      <w:r>
        <w:rPr>
          <w:rFonts w:hint="eastAsia"/>
          <w:color w:val="000000" w:themeColor="text1"/>
          <w:sz w:val="28"/>
          <w:szCs w:val="28"/>
          <w:highlight w:val="none"/>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highlight w:val="none"/>
          <w14:textFill>
            <w14:solidFill>
              <w14:schemeClr w14:val="tx1"/>
            </w14:solidFill>
          </w14:textFill>
        </w:rPr>
        <w:t>之日起的</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60个工作</w:t>
      </w:r>
      <w:r>
        <w:rPr>
          <w:rFonts w:hint="eastAsia" w:asciiTheme="minorEastAsia" w:hAnsiTheme="minorEastAsia" w:eastAsiaTheme="minorEastAsia"/>
          <w:color w:val="000000" w:themeColor="text1"/>
          <w:sz w:val="28"/>
          <w:szCs w:val="28"/>
          <w:highlight w:val="none"/>
          <w14:textFill>
            <w14:solidFill>
              <w14:schemeClr w14:val="tx1"/>
            </w14:solidFill>
          </w14:textFill>
        </w:rPr>
        <w:t>日内完成债权文件的交割工作。</w:t>
      </w:r>
    </w:p>
    <w:p w14:paraId="69774A81">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5.3.2</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乙方应当事先向甲方提交负责接收标的债权的乙方指定人员的身份证明和加盖公</w:t>
      </w:r>
      <w:r>
        <w:rPr>
          <w:rFonts w:hint="eastAsia" w:asciiTheme="minorEastAsia" w:hAnsiTheme="minorEastAsia" w:eastAsiaTheme="minorEastAsia"/>
          <w:color w:val="000000" w:themeColor="text1"/>
          <w:sz w:val="28"/>
          <w:szCs w:val="28"/>
          <w14:textFill>
            <w14:solidFill>
              <w14:schemeClr w14:val="tx1"/>
            </w14:solidFill>
          </w14:textFill>
        </w:rPr>
        <w:t>章的授权委托书，经甲方审核同意后在各方协商一致的时间进行交割，但该时间最晚不得迟于第5.3.1条约定的期限。如因乙方延迟提交上述文件或者不配合导致交割工作延迟完成的，相关损失和责任由乙方自负。</w:t>
      </w:r>
    </w:p>
    <w:p w14:paraId="6CEF7B9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5.4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14:paraId="443197E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5.5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14:paraId="47CB577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各方同意，甲方向乙方交割的债权文件仅限于甲方自原债权人取得的及甲方在对标的债权管理和处置过程中所获得或持有的与标的债权有关的法律文件（甲方不保证持有该等文件的原件），但不包括下列文件：</w:t>
      </w:r>
    </w:p>
    <w:p w14:paraId="30A4E2C0">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14:paraId="7C55E6DA">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14:paraId="3E0B43A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14:paraId="0F2497D9">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14:paraId="7A7234BE">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乙方同意，交割完成后，甲方及甲方聘用的中介机构因工作需要到乙方抽查及审阅甲方移交给乙方的档案资料的，乙方应当积极配合安排。</w:t>
      </w:r>
    </w:p>
    <w:p w14:paraId="23B51BF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4CF46D58">
      <w:pPr>
        <w:pStyle w:val="28"/>
        <w:spacing w:before="0" w:after="0" w:line="560" w:lineRule="exact"/>
        <w:ind w:left="0" w:leftChars="0" w:firstLine="562" w:firstLineChars="200"/>
        <w:jc w:val="both"/>
        <w:outlineLvl w:val="0"/>
        <w:rPr>
          <w:rFonts w:hint="eastAsia" w:asciiTheme="minorEastAsia" w:hAnsiTheme="minorEastAsia"/>
          <w:b/>
          <w:bCs/>
          <w:color w:val="000000" w:themeColor="text1"/>
          <w:sz w:val="28"/>
          <w:szCs w:val="28"/>
          <w14:textFill>
            <w14:solidFill>
              <w14:schemeClr w14:val="tx1"/>
            </w14:solidFill>
          </w14:textFill>
        </w:rPr>
      </w:pPr>
      <w:bookmarkStart w:id="19" w:name="_Toc215479816"/>
      <w:bookmarkEnd w:id="19"/>
      <w:bookmarkStart w:id="20" w:name="_Toc215479877"/>
      <w:bookmarkEnd w:id="20"/>
      <w:r>
        <w:rPr>
          <w:rFonts w:hint="eastAsia" w:asciiTheme="minorEastAsia" w:hAnsiTheme="minorEastAsia"/>
          <w:b/>
          <w:bCs/>
          <w:color w:val="000000" w:themeColor="text1"/>
          <w:sz w:val="28"/>
          <w:szCs w:val="28"/>
          <w14:textFill>
            <w14:solidFill>
              <w14:schemeClr w14:val="tx1"/>
            </w14:solidFill>
          </w14:textFill>
        </w:rPr>
        <w:t>第六条  转让后的合作</w:t>
      </w:r>
    </w:p>
    <w:p w14:paraId="204A5768">
      <w:pPr>
        <w:pStyle w:val="28"/>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6.1 </w:t>
      </w:r>
      <w:r>
        <w:rPr>
          <w:rFonts w:hint="eastAsia" w:asciiTheme="minorEastAsia" w:hAnsi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b/>
          <w:bCs/>
          <w:color w:val="000000" w:themeColor="text1"/>
          <w:sz w:val="28"/>
          <w:szCs w:val="28"/>
          <w14:textFill>
            <w14:solidFill>
              <w14:schemeClr w14:val="tx1"/>
            </w14:solidFill>
          </w14:textFill>
        </w:rPr>
        <w:t>债权转让通知</w:t>
      </w:r>
    </w:p>
    <w:p w14:paraId="31F27CB3">
      <w:pPr>
        <w:adjustRightInd w:val="0"/>
        <w:snapToGrid w:val="0"/>
        <w:spacing w:line="560" w:lineRule="exact"/>
        <w:ind w:firstLine="560" w:firstLineChars="200"/>
        <w:rPr>
          <w:color w:val="000000" w:themeColor="text1"/>
          <w:sz w:val="28"/>
          <w:szCs w:val="28"/>
          <w:highlight w:val="none"/>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w:t>
      </w:r>
      <w:r>
        <w:rPr>
          <w:rFonts w:hint="eastAsia"/>
          <w:color w:val="000000" w:themeColor="text1"/>
          <w:sz w:val="28"/>
          <w:szCs w:val="28"/>
          <w:highlight w:val="none"/>
          <w14:textFill>
            <w14:solidFill>
              <w14:schemeClr w14:val="tx1"/>
            </w14:solidFill>
          </w14:textFill>
        </w:rPr>
        <w:t>全部债权转让价款完毕</w:t>
      </w:r>
      <w:r>
        <w:rPr>
          <w:color w:val="000000" w:themeColor="text1"/>
          <w:sz w:val="28"/>
          <w:szCs w:val="28"/>
          <w:highlight w:val="none"/>
          <w14:textFill>
            <w14:solidFill>
              <w14:schemeClr w14:val="tx1"/>
            </w14:solidFill>
          </w14:textFill>
        </w:rPr>
        <w:t>起的</w:t>
      </w:r>
      <w:r>
        <w:rPr>
          <w:rFonts w:hint="default"/>
          <w:color w:val="000000" w:themeColor="text1"/>
          <w:sz w:val="28"/>
          <w:szCs w:val="28"/>
          <w:highlight w:val="none"/>
          <w:lang w:val="en-US"/>
          <w14:textFill>
            <w14:solidFill>
              <w14:schemeClr w14:val="tx1"/>
            </w14:solidFill>
          </w14:textFill>
        </w:rPr>
        <w:t>15</w:t>
      </w:r>
      <w:r>
        <w:rPr>
          <w:rFonts w:hint="eastAsia"/>
          <w:color w:val="000000" w:themeColor="text1"/>
          <w:sz w:val="28"/>
          <w:szCs w:val="28"/>
          <w:highlight w:val="none"/>
          <w:lang w:val="en-US" w:eastAsia="zh-CN"/>
          <w14:textFill>
            <w14:solidFill>
              <w14:schemeClr w14:val="tx1"/>
            </w14:solidFill>
          </w14:textFill>
        </w:rPr>
        <w:t>个工作</w:t>
      </w:r>
      <w:r>
        <w:rPr>
          <w:rFonts w:hint="eastAsia"/>
          <w:color w:val="000000" w:themeColor="text1"/>
          <w:sz w:val="28"/>
          <w:szCs w:val="28"/>
          <w:highlight w:val="none"/>
          <w14:textFill>
            <w14:solidFill>
              <w14:schemeClr w14:val="tx1"/>
            </w14:solidFill>
          </w14:textFill>
        </w:rPr>
        <w:t>日</w:t>
      </w:r>
      <w:r>
        <w:rPr>
          <w:color w:val="000000" w:themeColor="text1"/>
          <w:sz w:val="28"/>
          <w:szCs w:val="28"/>
          <w:highlight w:val="none"/>
          <w14:textFill>
            <w14:solidFill>
              <w14:schemeClr w14:val="tx1"/>
            </w14:solidFill>
          </w14:textFill>
        </w:rPr>
        <w:t>内，</w:t>
      </w:r>
      <w:r>
        <w:rPr>
          <w:rFonts w:hint="eastAsia"/>
          <w:color w:val="000000" w:themeColor="text1"/>
          <w:sz w:val="28"/>
          <w:szCs w:val="28"/>
          <w:highlight w:val="none"/>
          <w14:textFill>
            <w14:solidFill>
              <w14:schemeClr w14:val="tx1"/>
            </w14:solidFill>
          </w14:textFill>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highlight w:val="none"/>
          <w14:textFill>
            <w14:solidFill>
              <w14:schemeClr w14:val="tx1"/>
            </w14:solidFill>
          </w14:textFill>
        </w:rPr>
        <w:t>务催收的事实告知债务人及担保人</w:t>
      </w:r>
      <w:r>
        <w:rPr>
          <w:rFonts w:hint="eastAsia" w:asciiTheme="minorEastAsia" w:hAnsiTheme="minorEastAsia" w:eastAsiaTheme="minorEastAsia"/>
          <w:snapToGrid w:val="0"/>
          <w:color w:val="000000" w:themeColor="text1"/>
          <w:kern w:val="28"/>
          <w:sz w:val="28"/>
          <w:szCs w:val="28"/>
          <w:highlight w:val="none"/>
          <w:lang w:eastAsia="zh-CN"/>
          <w14:textFill>
            <w14:solidFill>
              <w14:schemeClr w14:val="tx1"/>
            </w14:solidFill>
          </w14:textFill>
        </w:rPr>
        <w:t>，</w:t>
      </w:r>
      <w:r>
        <w:rPr>
          <w:rFonts w:hint="eastAsia" w:asciiTheme="minorEastAsia" w:hAnsiTheme="minorEastAsia" w:eastAsiaTheme="minorEastAsia"/>
          <w:snapToGrid w:val="0"/>
          <w:color w:val="000000" w:themeColor="text1"/>
          <w:kern w:val="28"/>
          <w:sz w:val="28"/>
          <w:szCs w:val="28"/>
          <w:highlight w:val="none"/>
          <w:lang w:val="en-US" w:eastAsia="zh-CN"/>
          <w14:textFill>
            <w14:solidFill>
              <w14:schemeClr w14:val="tx1"/>
            </w14:solidFill>
          </w14:textFill>
        </w:rPr>
        <w:t>同时双方以登报形式在省级报纸上联合发布债权转让公告，费用由甲方承担</w:t>
      </w:r>
      <w:r>
        <w:rPr>
          <w:rFonts w:hint="eastAsia"/>
          <w:color w:val="000000" w:themeColor="text1"/>
          <w:sz w:val="28"/>
          <w:szCs w:val="28"/>
          <w:highlight w:val="none"/>
          <w14:textFill>
            <w14:solidFill>
              <w14:schemeClr w14:val="tx1"/>
            </w14:solidFill>
          </w14:textFill>
        </w:rPr>
        <w:t>。(债权转让与催收通知及回执见附件二)</w:t>
      </w:r>
    </w:p>
    <w:p w14:paraId="6B8C8D4E">
      <w:pPr>
        <w:pStyle w:val="29"/>
        <w:widowControl w:val="0"/>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6.</w:t>
      </w:r>
      <w:r>
        <w:rPr>
          <w:rFonts w:hint="eastAsia" w:asciiTheme="minorEastAsia" w:hAnsiTheme="minorEastAsia" w:eastAsiaTheme="minorEastAsia"/>
          <w:color w:val="000000" w:themeColor="text1"/>
          <w:sz w:val="28"/>
          <w:szCs w:val="28"/>
          <w:highlight w:val="none"/>
          <w14:textFill>
            <w14:solidFill>
              <w14:schemeClr w14:val="tx1"/>
            </w14:solidFill>
          </w14:textFill>
        </w:rPr>
        <w:t>1</w:t>
      </w:r>
      <w:r>
        <w:rPr>
          <w:rFonts w:asciiTheme="minorEastAsia" w:hAnsiTheme="minorEastAsia" w:eastAsiaTheme="minorEastAsia"/>
          <w:color w:val="000000" w:themeColor="text1"/>
          <w:sz w:val="28"/>
          <w:szCs w:val="28"/>
          <w:highlight w:val="none"/>
          <w14:textFill>
            <w14:solidFill>
              <w14:schemeClr w14:val="tx1"/>
            </w14:solidFill>
          </w14:textFill>
        </w:rPr>
        <w:t>.2</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上述送达工作由乙方负责、甲方予以配合。</w:t>
      </w:r>
    </w:p>
    <w:p w14:paraId="3321E45E">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6.1</w:t>
      </w:r>
      <w:r>
        <w:rPr>
          <w:rFonts w:asciiTheme="minorEastAsia" w:hAnsiTheme="minorEastAsia" w:eastAsia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乙方确认，甲方只需进行以上形式的通知，无论案件受理法院是否确认债权转让通知的法</w:t>
      </w:r>
      <w:r>
        <w:rPr>
          <w:rFonts w:hint="eastAsia" w:asciiTheme="minorEastAsia" w:hAnsiTheme="minorEastAsia" w:eastAsiaTheme="minorEastAsia"/>
          <w:b/>
          <w:bCs/>
          <w:color w:val="000000" w:themeColor="text1"/>
          <w:sz w:val="28"/>
          <w:szCs w:val="28"/>
          <w14:textFill>
            <w14:solidFill>
              <w14:schemeClr w14:val="tx1"/>
            </w14:solidFill>
          </w14:textFill>
        </w:rPr>
        <w:t>律效力，均视为甲方已完成债权转让通知的义务，乙方不得对此提出任何抗辩。</w:t>
      </w:r>
    </w:p>
    <w:p w14:paraId="03E6881A">
      <w:pPr>
        <w:pStyle w:val="29"/>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乙方进一步确认，甲方的通知义务只限于进行上述适当的通知行为，无论债务人、担保人、其他义务人对债权转让的通知是否签收和确认，不影响各方之间就债权进行转让的效力。</w:t>
      </w:r>
    </w:p>
    <w:p w14:paraId="7ABBF703">
      <w:pPr>
        <w:pStyle w:val="29"/>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highlight w:val="none"/>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b/>
          <w:bCs/>
          <w:snapToGrid/>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主体及权属变更</w:t>
      </w:r>
    </w:p>
    <w:p w14:paraId="272D3060">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6.2.1</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14:paraId="64741E43">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6</w:t>
      </w:r>
      <w:r>
        <w:rPr>
          <w:rFonts w:asciiTheme="minorEastAsia" w:hAnsiTheme="minorEastAsia" w:eastAsiaTheme="minorEastAsia"/>
          <w:color w:val="000000" w:themeColor="text1"/>
          <w:sz w:val="28"/>
          <w:szCs w:val="28"/>
          <w:highlight w:val="none"/>
          <w14:textFill>
            <w14:solidFill>
              <w14:schemeClr w14:val="tx1"/>
            </w14:solidFill>
          </w14:textFill>
        </w:rPr>
        <w:t>.2.2</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若因乙方原因未于第6</w:t>
      </w:r>
      <w:r>
        <w:rPr>
          <w:rFonts w:asciiTheme="minorEastAsia" w:hAnsiTheme="minorEastAsia" w:eastAsiaTheme="minorEastAsia"/>
          <w:b/>
          <w:bCs/>
          <w:color w:val="000000" w:themeColor="text1"/>
          <w:sz w:val="28"/>
          <w:szCs w:val="28"/>
          <w:highlight w:val="none"/>
          <w14:textFill>
            <w14:solidFill>
              <w14:schemeClr w14:val="tx1"/>
            </w14:solidFill>
          </w14:textFill>
        </w:rPr>
        <w:t>.2.1条</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约</w:t>
      </w:r>
      <w:r>
        <w:rPr>
          <w:rFonts w:hint="eastAsia" w:asciiTheme="minorEastAsia" w:hAnsiTheme="minorEastAsia" w:eastAsiaTheme="minorEastAsia"/>
          <w:b/>
          <w:bCs/>
          <w:color w:val="000000" w:themeColor="text1"/>
          <w:sz w:val="28"/>
          <w:szCs w:val="28"/>
          <w14:textFill>
            <w14:solidFill>
              <w14:schemeClr w14:val="tx1"/>
            </w14:solidFill>
          </w14:textFill>
        </w:rPr>
        <w:t>定的期限内完成该等变更或手续导致甲方继续被告知应参与相关诉讼程序的，甲方有权选择放弃参与相关诉讼程序。甲方放弃参与相关诉讼程序且因此影响乙方行使相关诉讼权利的，甲方不承担任何责任。</w:t>
      </w:r>
    </w:p>
    <w:p w14:paraId="21E81A1C">
      <w:pPr>
        <w:pStyle w:val="29"/>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14:paraId="3E8750B9">
      <w:pPr>
        <w:adjustRightInd w:val="0"/>
        <w:snapToGrid w:val="0"/>
        <w:spacing w:line="560" w:lineRule="exact"/>
        <w:ind w:firstLine="562" w:firstLineChars="200"/>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14:paraId="03A090EC">
      <w:pPr>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6.3.1 </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方有权要求乙方弥补甲方所受的一切损失。</w:t>
      </w:r>
    </w:p>
    <w:p w14:paraId="37000398">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6</w:t>
      </w:r>
      <w:r>
        <w:rPr>
          <w:rFonts w:asciiTheme="minorEastAsia" w:hAnsiTheme="minorEastAsia" w:eastAsiaTheme="minorEastAsia"/>
          <w:color w:val="000000" w:themeColor="text1"/>
          <w:sz w:val="28"/>
          <w:szCs w:val="28"/>
          <w:highlight w:val="none"/>
          <w14:textFill>
            <w14:solidFill>
              <w14:schemeClr w14:val="tx1"/>
            </w14:solidFill>
          </w14:textFill>
        </w:rPr>
        <w:t>.3.2</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 xml:space="preserve"> </w:t>
      </w:r>
      <w:r>
        <w:rPr>
          <w:rFonts w:asciiTheme="minorEastAsia" w:hAnsiTheme="minorEastAsia" w:eastAsiaTheme="minorEastAsia"/>
          <w:b/>
          <w:bCs/>
          <w:color w:val="000000" w:themeColor="text1"/>
          <w:sz w:val="28"/>
          <w:szCs w:val="28"/>
          <w:highlight w:val="none"/>
          <w14:textFill>
            <w14:solidFill>
              <w14:schemeClr w14:val="tx1"/>
            </w14:solidFill>
          </w14:textFill>
        </w:rPr>
        <w:t>乙方同意</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，除各方另有约定外，</w:t>
      </w:r>
      <w:r>
        <w:rPr>
          <w:rFonts w:asciiTheme="minorEastAsia" w:hAnsiTheme="minorEastAsia" w:eastAsiaTheme="minorEastAsia"/>
          <w:b/>
          <w:bCs/>
          <w:color w:val="000000" w:themeColor="text1"/>
          <w:sz w:val="28"/>
          <w:szCs w:val="28"/>
          <w:highlight w:val="none"/>
          <w14:textFill>
            <w14:solidFill>
              <w14:schemeClr w14:val="tx1"/>
            </w14:solidFill>
          </w14:textFill>
        </w:rPr>
        <w:t>在受让标的债权后</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不</w:t>
      </w:r>
      <w:r>
        <w:rPr>
          <w:rFonts w:asciiTheme="minorEastAsia" w:hAnsiTheme="minorEastAsia" w:eastAsiaTheme="minorEastAsia"/>
          <w:b/>
          <w:bCs/>
          <w:color w:val="000000" w:themeColor="text1"/>
          <w:sz w:val="28"/>
          <w:szCs w:val="28"/>
          <w:highlight w:val="none"/>
          <w14:textFill>
            <w14:solidFill>
              <w14:schemeClr w14:val="tx1"/>
            </w14:solidFill>
          </w14:textFill>
        </w:rPr>
        <w:t>继续遵守、履行和</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不</w:t>
      </w:r>
      <w:r>
        <w:rPr>
          <w:rFonts w:asciiTheme="minorEastAsia" w:hAnsiTheme="minorEastAsia" w:eastAsiaTheme="minorEastAsia"/>
          <w:b/>
          <w:bCs/>
          <w:color w:val="000000" w:themeColor="text1"/>
          <w:sz w:val="28"/>
          <w:szCs w:val="28"/>
          <w:highlight w:val="none"/>
          <w14:textFill>
            <w14:solidFill>
              <w14:schemeClr w14:val="tx1"/>
            </w14:solidFill>
          </w14:textFill>
        </w:rPr>
        <w:t>承继甲方及/或原债权人在标的债权转让前</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与相关中介机构签署的服务协议等法律文件，</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不</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承继该等服务协议项下的权利和义务并受到该等服务协议条款的约束。</w:t>
      </w:r>
    </w:p>
    <w:p w14:paraId="7EB3768B">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highlight w:val="none"/>
          <w14:textFill>
            <w14:solidFill>
              <w14:schemeClr w14:val="tx1"/>
            </w14:solidFill>
          </w14:textFill>
        </w:rPr>
      </w:pPr>
    </w:p>
    <w:p w14:paraId="1E186270">
      <w:pPr>
        <w:spacing w:line="560" w:lineRule="exact"/>
        <w:ind w:firstLine="480"/>
        <w:outlineLvl w:val="0"/>
        <w:rPr>
          <w:rFonts w:hint="eastAsia" w:asciiTheme="minorEastAsia" w:hAnsiTheme="minorEastAsia" w:eastAsiaTheme="minorEastAsia"/>
          <w:b/>
          <w:bCs/>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kern w:val="0"/>
          <w:sz w:val="28"/>
          <w:szCs w:val="28"/>
          <w:highlight w:val="none"/>
          <w14:textFill>
            <w14:solidFill>
              <w14:schemeClr w14:val="tx1"/>
            </w14:solidFill>
          </w14:textFill>
        </w:rPr>
        <w:t>第七条  风险提示及决策</w:t>
      </w:r>
    </w:p>
    <w:p w14:paraId="71E2D19E">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7.1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28"/>
          <w:szCs w:val="28"/>
          <w:highlight w:val="none"/>
          <w14:textFill>
            <w14:solidFill>
              <w14:schemeClr w14:val="tx1"/>
            </w14:solidFill>
          </w14:textFill>
        </w:rPr>
        <w:t>就标的债权转让事宜，甲方特向乙方作出如下风险提示；乙方对以下风险</w:t>
      </w:r>
      <w:r>
        <w:rPr>
          <w:rFonts w:hint="eastAsia" w:asciiTheme="minorEastAsia" w:hAnsiTheme="minorEastAsia" w:eastAsiaTheme="minorEastAsia"/>
          <w:b/>
          <w:color w:val="000000" w:themeColor="text1"/>
          <w:sz w:val="28"/>
          <w:szCs w:val="28"/>
          <w14:textFill>
            <w14:solidFill>
              <w14:schemeClr w14:val="tx1"/>
            </w14:solidFill>
          </w14:textFill>
        </w:rPr>
        <w:t>表示完全知晓并自愿承担由此可能发生的不利法律或其他后果。</w:t>
      </w:r>
    </w:p>
    <w:p w14:paraId="0F05F432">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14:paraId="0331853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以现状转让，</w:t>
      </w:r>
      <w:r>
        <w:rPr>
          <w:rFonts w:hint="eastAsia" w:asciiTheme="minorEastAsia" w:hAnsiTheme="minorEastAsia" w:eastAsiaTheme="minorEastAsia"/>
          <w:b/>
          <w:bCs/>
          <w:color w:val="000000" w:themeColor="text1"/>
          <w:sz w:val="28"/>
          <w:szCs w:val="28"/>
          <w14:textFill>
            <w14:solidFill>
              <w14:schemeClr w14:val="tx1"/>
            </w14:solidFill>
          </w14:textFill>
        </w:rPr>
        <w:t>可能存在着瑕疵或尚未发现的重大缺陷，以至于乙方预期利益无法最终实现。乙方并同意，甲方对所转让的标的债权不承担法律上的合法性、有效性等瑕疵担保责任。</w:t>
      </w:r>
    </w:p>
    <w:p w14:paraId="386E5064">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14:paraId="2DE7F98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14:paraId="38F2672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14:paraId="66F75EC9">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14:paraId="47016304">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14:paraId="7DDCF4D5">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14:paraId="2491286A">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14:paraId="1AB23E9C">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14:paraId="176B95B7">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14:paraId="79C9B639">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14:paraId="08D5CD3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14:paraId="7A16F340">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14:paraId="59736436">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14:paraId="29A01492">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14:paraId="3067961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14:paraId="596B73F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14:paraId="5788B1E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14:paraId="0C1BC94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14:paraId="3893CA27">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14:paraId="3871F50E">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如有</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等可能缺少相关票据文件等而不被法院或仲裁机构支持，致使该部分债权无法实现；</w:t>
      </w:r>
    </w:p>
    <w:p w14:paraId="32F0345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14:paraId="7E6C560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14:paraId="7DEE0D4D">
      <w:pPr>
        <w:spacing w:line="560" w:lineRule="exact"/>
        <w:ind w:firstLine="562" w:firstLineChars="200"/>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（20）债务人、担保人可能存在其他涉诉、涉执、列入失信被执行人名单等情形；</w:t>
      </w:r>
    </w:p>
    <w:p w14:paraId="2A28429D">
      <w:pPr>
        <w:keepNext w:val="0"/>
        <w:keepLines w:val="0"/>
        <w:widowControl/>
        <w:suppressLineNumbers w:val="0"/>
        <w:spacing w:before="0" w:beforeAutospacing="0" w:after="0" w:afterAutospacing="0" w:line="560" w:lineRule="atLeast"/>
        <w:ind w:left="0" w:right="0" w:firstLine="561"/>
        <w:jc w:val="both"/>
        <w:rPr>
          <w:rFonts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（21）基准日债权金额为一般性描述，标的债权可能因冲抵顺序、计算误差、司法执行现状等原因造成债权金额发生变化；</w:t>
      </w:r>
    </w:p>
    <w:p w14:paraId="0DCAEC3F">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22）根据属地不动产登记部门出具的查询结果，未见抵押土地权属、抵押等登记信息（土地证号：瓮国用（2010）第00125号，他项权证号：他项（2013）006号），该土地可能已办理“房地一体”登记，或已无法单独就该土地部分主张抵押优先受偿权；抵押土地（土地证号：瓮国用（2015）第00010号）上已有建设警示教育基地、住宅等（抵押登记后建设的建筑物）不属于抵押物范围的建筑物，可能对主张该土地的优先受偿权造成障碍。上述抵押土地的现状可能造成抵押权难以实现。上述土地对应土地出让金可能未完全缴纳。</w:t>
      </w:r>
    </w:p>
    <w:p w14:paraId="6D0999C7">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（23）在建工程抵押物可能因欠付工程价款被施工方主张工程款优先权，导致抵押权难以实现或抵押权价值贬损；</w:t>
      </w:r>
    </w:p>
    <w:p w14:paraId="32DA3F71">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（24）根据属地不动产登记部门出具的查询结果，车库抵押物未有权属登记，车库权属不明，该车库可能涉及人防车位、不计算容积率的车位等规划性质，导致无法实现抵押优先受偿权、抵押无效等风险；</w:t>
      </w:r>
    </w:p>
    <w:p w14:paraId="42A5102F">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（25）部分抵押物存在占用、租赁、拆迁安置还房、物业用房，抵押人私自对外销售，第三人对抵押物主张权益等情形，可能导致抵押物优先受偿权难以实现；</w:t>
      </w:r>
    </w:p>
    <w:p w14:paraId="380F1C63">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26）抵押协议、生效法律文书、不动产登记部门登记信息等文书对抵押物的具体面积、套数、相关权证信息等存在不一致情况，实际享有的抵押权以登记现状、司法执行支持现状等为准。同时因部分抵押物存在私售、司法拍卖、以物抵债等情况，导致生效法律文书确认的抵押物范围与登记部门查询结果不一致，可主张的抵押物优先权以实际登记信息且司法执行程序认定的无争议部分为准；</w:t>
      </w:r>
    </w:p>
    <w:p w14:paraId="152746F2">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（27）标的债权涉及收取债务重组顾问费可能对主债权确权金额带来潜在风险；</w:t>
      </w:r>
    </w:p>
    <w:p w14:paraId="7E6FF1AE">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（28）标的债权的查封期限以现状为准；</w:t>
      </w:r>
    </w:p>
    <w:p w14:paraId="1DACA497">
      <w:pPr>
        <w:keepNext w:val="0"/>
        <w:keepLines w:val="0"/>
        <w:widowControl/>
        <w:suppressLineNumbers w:val="0"/>
        <w:spacing w:before="0" w:beforeAutospacing="0" w:after="0" w:afterAutospacing="0" w:line="560" w:lineRule="atLeast"/>
        <w:ind w:left="0" w:right="0" w:firstLine="561"/>
        <w:jc w:val="both"/>
        <w:rPr>
          <w:rFonts w:hint="default" w:ascii="Calibri" w:hAnsi="Calibri" w:cs="Calibri"/>
          <w:i w:val="0"/>
          <w:iCs w:val="0"/>
          <w:caps w:val="0"/>
          <w:color w:val="000000"/>
          <w:spacing w:val="0"/>
          <w:sz w:val="21"/>
          <w:szCs w:val="21"/>
          <w:u w:val="none"/>
        </w:rPr>
      </w:pPr>
      <w:r>
        <w:rPr>
          <w:rFonts w:hint="eastAsia" w:ascii="宋体" w:hAnsi="宋体" w:eastAsia="宋体" w:cs="宋体"/>
          <w:b/>
          <w:bCs/>
          <w:i w:val="0"/>
          <w:iCs w:val="0"/>
          <w:caps w:val="0"/>
          <w:color w:val="000000"/>
          <w:spacing w:val="0"/>
          <w:kern w:val="0"/>
          <w:sz w:val="28"/>
          <w:szCs w:val="28"/>
          <w:u w:val="none"/>
          <w:lang w:val="en-US" w:eastAsia="zh-CN" w:bidi="ar"/>
        </w:rPr>
        <w:t>（29）标的债权及其从权利的其他瑕疵或重大缺陷。</w:t>
      </w:r>
    </w:p>
    <w:p w14:paraId="47A4F3F2">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14:paraId="437C553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7.2.1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乙方确认，乙方对标的债权的定价系其根据债权金额、债务人的履行能力、债权瑕疵程度、债务人资产状况、法律政策风险等影响标的债权价值的一切因素独立进行综合考量后作出的商业决策。</w:t>
      </w:r>
    </w:p>
    <w:p w14:paraId="012861B9">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14:paraId="4CB90DC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65B73AB4">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14:paraId="65E27906">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8.1</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甲方声明和保证</w:t>
      </w:r>
    </w:p>
    <w:p w14:paraId="3BA3756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8.1.1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甲方有权处置标的债权，具备合法的资格和能力签署本协议，并已采取一切必要的行动以获得授权签署及履行本协议。</w:t>
      </w:r>
    </w:p>
    <w:p w14:paraId="0D75079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8.1.2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14:paraId="3EFAFC2C">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14:paraId="0D25E1CA">
      <w:pPr>
        <w:pStyle w:val="3"/>
        <w:keepNext w:val="0"/>
        <w:keepLines w:val="0"/>
        <w:widowControl w:val="0"/>
        <w:numPr>
          <w:ilvl w:val="0"/>
          <w:numId w:val="0"/>
        </w:numPr>
        <w:spacing w:before="0" w:after="0" w:line="560" w:lineRule="exact"/>
        <w:ind w:firstLine="551"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14:paraId="27D1457A">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w:t>
      </w:r>
      <w:r>
        <w:rPr>
          <w:rFonts w:hint="eastAsia" w:asciiTheme="minorEastAsia" w:hAnsiTheme="minorEastAsia" w:eastAsiaTheme="minorEastAsia"/>
          <w:b w:val="0"/>
          <w:caps w:val="0"/>
          <w:color w:val="000000" w:themeColor="text1"/>
          <w:kern w:val="2"/>
          <w:sz w:val="28"/>
          <w:szCs w:val="28"/>
          <w:lang w:val="en-US" w:eastAsia="zh-CN"/>
          <w14:textFill>
            <w14:solidFill>
              <w14:schemeClr w14:val="tx1"/>
            </w14:solidFill>
          </w14:textFill>
        </w:rPr>
        <w:t xml:space="preserve"> </w:t>
      </w: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14:paraId="6B4EFA91">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乙方承诺具备收购标的债权的受让资格，符合现行法律法规及其他相关规范性文件有关受让资格的规定，包括但不限于：</w:t>
      </w:r>
    </w:p>
    <w:p w14:paraId="45E2288B">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14:paraId="4B197494">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14:paraId="74ECF5FD">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14:paraId="7D47B4F0">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14:paraId="121EB7D7">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14:paraId="782534EA">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14:paraId="71059CA7">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14:paraId="63E0B921">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14:paraId="09E4870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8.2.3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14:paraId="072560D8">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 xml:space="preserve">8.2.4 </w:t>
      </w:r>
      <w:r>
        <w:rPr>
          <w:rFonts w:hint="eastAsia" w:asciiTheme="minorEastAsia" w:hAnsiTheme="minorEastAsia" w:eastAsiaTheme="minorEastAsia"/>
          <w:b w:val="0"/>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14:paraId="144CF9E8">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 xml:space="preserve">8.2.5 </w:t>
      </w:r>
      <w:r>
        <w:rPr>
          <w:rFonts w:hint="eastAsia" w:asciiTheme="minorEastAsia" w:hAnsiTheme="minorEastAsia" w:eastAsiaTheme="minorEastAsia"/>
          <w:b/>
          <w:cap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caps/>
          <w:color w:val="000000" w:themeColor="text1"/>
          <w:sz w:val="28"/>
          <w:szCs w:val="28"/>
          <w14:textFill>
            <w14:solidFill>
              <w14:schemeClr w14:val="tx1"/>
            </w14:solidFill>
          </w14:textFill>
        </w:rPr>
        <w:t>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14:paraId="58725364">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8.2.6</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乙方承诺就本协议项下资产，在本协议生效后，不向甲方提出任何调整、退还、替换、相应减少本协议第三条规定的转让价款的请求及其他类似请求。不得以重大误解、显失公平或其他任何</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理由</w:t>
      </w:r>
      <w:r>
        <w:rPr>
          <w:rFonts w:hint="eastAsia" w:asciiTheme="minorEastAsia" w:hAnsiTheme="minorEastAsia" w:eastAsiaTheme="minorEastAsia"/>
          <w:b/>
          <w:bCs/>
          <w:color w:val="000000" w:themeColor="text1"/>
          <w:sz w:val="28"/>
          <w:szCs w:val="28"/>
          <w14:textFill>
            <w14:solidFill>
              <w14:schemeClr w14:val="tx1"/>
            </w14:solidFill>
          </w14:textFill>
        </w:rPr>
        <w:t>向甲方由主张变更、撤销、解除本协议或减损本协议效力及其他类似请求。</w:t>
      </w:r>
    </w:p>
    <w:p w14:paraId="0DDEEE9D">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8.2.7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14:paraId="72E920E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14:paraId="46751CBF">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14:paraId="371911E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14:paraId="14086393">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14:paraId="5060D7C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确认其已知悉甲方须遵守中华人民共和国及中华人民共和国认可的组织机构发布的关于定向金融制裁等制裁要求及香港联合交易所关于防范和控制国际制裁风险的要求。在本合同履行期间，乙方承诺自身及关联方不属于联合国及经中国政府认可的组织机构发布的制裁与禁止名单中主体，如因乙方或其关联方、分包商、供应商或其控制范围内主体的行为或状态，导致甲方存在或可能存在违反任何适用制裁法律法规或面临制裁风险的情形，乙方应立即书面通知甲方，并采取一切合理且必要的补救措施，以消除或降低相关制裁风险。如因上述情形导致甲方遭受任何损失、责任或不利后果（包括但不限于罚款、资产冻结、交易限制、声誉损失或合规成本等），乙方应就该等损失向甲方承担赔偿责任。为避免歧义，“制裁”系指由联合国、中国、美国、欧盟、英国或其他适用司法管辖区实施的任何经济制裁或限制性措施。</w:t>
      </w:r>
    </w:p>
    <w:p w14:paraId="7A03E8C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14:paraId="42A7FE05">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14:paraId="49899F4E">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14:paraId="137293F5">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14:paraId="171401B0">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14:paraId="39329B4D">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14:paraId="0E681E87">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8.2.18  </w:t>
      </w:r>
      <w:r>
        <w:rPr>
          <w:rFonts w:hint="eastAsia" w:asciiTheme="minorEastAsia" w:hAnsiTheme="minorEastAsia" w:eastAsiaTheme="minorEastAsia"/>
          <w:color w:val="000000" w:themeColor="text1"/>
          <w:sz w:val="28"/>
          <w:szCs w:val="28"/>
          <w14:textFill>
            <w14:solidFill>
              <w14:schemeClr w14:val="tx1"/>
            </w14:solidFill>
          </w14:textFill>
        </w:rPr>
        <w:t>乙方已知悉中华人民共和国反洗钱、反恐怖融资、规避防扩散定向金融制裁（以下统称“反洗钱”）相关法律法规的规定，将严格遵守上述规定，不会违反任何前述规定；不参与涉嫌洗钱、恐怖融资、扩散融资等违法犯罪活动，不涉及反洗钱特别预防措施名单等风险，不得利用甲方业务、款项进行洗钱和恐怖融资等违法犯罪活动。乙方应当依法积极协助并配合甲方开展反洗钱工作，包括配合甲方开展客户尽职调查与受益所有人识别、大额和可疑交易报告、反洗钱特别预防措施名单筛查等，按照甲方要求如实提供包括但不限于乙方及其受益所有人的身份信息及资料、资金来源、交易目的及相关证明文件、财务报表及其他甲方需要的任何资料与信息，并保证所提供给甲方资料及信息的真实、准确及完整。乙方应确保合作期间持续满足甲方反洗钱工作下客户及其受益所有人身份持续识别、风险等级动态评估及反洗钱特别预防措施名单监测的工作需要，及时向甲方提供乙方及其受益所有人信息变更情况。</w:t>
      </w:r>
    </w:p>
    <w:p w14:paraId="09B20BC1">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8.2.19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14:paraId="5E517ED0">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8.2.20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14:paraId="05D8A3F5">
      <w:pPr>
        <w:pStyle w:val="28"/>
        <w:spacing w:before="0" w:after="0" w:line="560" w:lineRule="exact"/>
        <w:ind w:firstLine="562" w:firstLineChars="20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14:paraId="650D6CBF">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14:paraId="6BBF869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14:paraId="413A3563">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14:paraId="5E498FE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14:paraId="5813D7EF">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14:paraId="4B75AD7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14:paraId="19F8FC1B">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14:paraId="3DEA69A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14:paraId="6C435AFE">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14:paraId="09B70034">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14:paraId="2FAADCED">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14:paraId="6FFCE64F">
      <w:pPr>
        <w:spacing w:line="560" w:lineRule="exact"/>
        <w:ind w:firstLine="560"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14:paraId="4A385DAD">
      <w:pPr>
        <w:spacing w:line="560" w:lineRule="exact"/>
        <w:ind w:firstLine="560" w:firstLineChars="200"/>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如乙方违反付款义务，未能按时足额支付相应款项，则</w:t>
      </w:r>
      <w:bookmarkStart w:id="23" w:name="_Ref118455974"/>
      <w:bookmarkStart w:id="24" w:name="_Ref128679105"/>
      <w:r>
        <w:rPr>
          <w:rFonts w:hint="eastAsia" w:asciiTheme="minorEastAsia" w:hAnsiTheme="minorEastAsia" w:eastAsiaTheme="minorEastAsia"/>
          <w:b/>
          <w:bCs/>
          <w:color w:val="000000" w:themeColor="text1"/>
          <w:sz w:val="28"/>
          <w:szCs w:val="28"/>
          <w:highlight w:val="none"/>
          <w14:textFill>
            <w14:solidFill>
              <w14:schemeClr w14:val="tx1"/>
            </w14:solidFill>
          </w14:textFill>
        </w:rPr>
        <w:t>乙方</w:t>
      </w:r>
      <w:r>
        <w:rPr>
          <w:rFonts w:asciiTheme="minorEastAsia" w:hAnsiTheme="minorEastAsia" w:eastAsiaTheme="minorEastAsia"/>
          <w:b/>
          <w:bCs/>
          <w:color w:val="000000" w:themeColor="text1"/>
          <w:sz w:val="28"/>
          <w:szCs w:val="28"/>
          <w:highlight w:val="none"/>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以</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日万分之五的标准</w:t>
      </w:r>
      <w:r>
        <w:rPr>
          <w:rFonts w:asciiTheme="minorEastAsia" w:hAnsiTheme="minorEastAsia" w:eastAsiaTheme="minorEastAsia"/>
          <w:b/>
          <w:bCs/>
          <w:color w:val="000000" w:themeColor="text1"/>
          <w:sz w:val="28"/>
          <w:szCs w:val="28"/>
          <w:highlight w:val="none"/>
          <w14:textFill>
            <w14:solidFill>
              <w14:schemeClr w14:val="tx1"/>
            </w14:solidFill>
          </w14:textFill>
        </w:rPr>
        <w:t>向甲方支付</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违约</w:t>
      </w:r>
      <w:r>
        <w:rPr>
          <w:rFonts w:asciiTheme="minorEastAsia" w:hAnsiTheme="minorEastAsia" w:eastAsiaTheme="minorEastAsia"/>
          <w:b/>
          <w:bCs/>
          <w:color w:val="000000" w:themeColor="text1"/>
          <w:sz w:val="28"/>
          <w:szCs w:val="28"/>
          <w:highlight w:val="none"/>
          <w14:textFill>
            <w14:solidFill>
              <w14:schemeClr w14:val="tx1"/>
            </w14:solidFill>
          </w14:textFill>
        </w:rPr>
        <w:t>金。</w:t>
      </w:r>
    </w:p>
    <w:p w14:paraId="728F55A7">
      <w:pPr>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9.2.7  如乙方迟延</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日未向甲方足额支付相应款项，甲方有权选择如下一种或几种方式要求乙方承担违约责任：                                                                                                                                                                                                                                                                                                                                                                                                                                                                                   </w:t>
      </w:r>
    </w:p>
    <w:p w14:paraId="403CFD4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（1）自</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highlight w:val="none"/>
          <w14:textFill>
            <w14:solidFill>
              <w14:schemeClr w14:val="tx1"/>
            </w14:solidFill>
          </w14:textFill>
        </w:rPr>
        <w:t>延期支付之日起</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有权解除本协议，乙方应向甲方支付相应的违约金，违约金数额为转让价款的20％（不含9.2.6条所述违约金）；如违约金数额不足以弥补甲方的实际损失，甲方有权继续向乙方追索。</w:t>
      </w:r>
    </w:p>
    <w:p w14:paraId="296BB4F2">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14:paraId="5B50FBD3">
      <w:pPr>
        <w:pStyle w:val="8"/>
        <w:tabs>
          <w:tab w:val="left" w:pos="1980"/>
        </w:tabs>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对于乙方已支付的</w:t>
      </w:r>
      <w:r>
        <w:rPr>
          <w:rFonts w:hint="eastAsia" w:asciiTheme="minorEastAsia" w:hAnsiTheme="minorEastAsia" w:eastAsiaTheme="minorEastAsia"/>
          <w:b w:val="0"/>
          <w:bCs w:val="0"/>
          <w:color w:val="000000" w:themeColor="text1"/>
          <w:sz w:val="28"/>
          <w:szCs w:val="28"/>
          <w14:textFill>
            <w14:solidFill>
              <w14:schemeClr w14:val="tx1"/>
            </w14:solidFill>
          </w14:textFill>
        </w:rPr>
        <w:t>款项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，均不予退还。</w:t>
      </w:r>
    </w:p>
    <w:p w14:paraId="7AD5EBFD">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本协议解除后，甲方有权另行处置债权，若甲方另行处置资产时的处置价格与本次资产转让价格之间的差额及另行处置所产生的费用视为甲方因乙方违约而遭受的实际损失之一。  </w:t>
      </w:r>
    </w:p>
    <w:p w14:paraId="2C340065">
      <w:pPr>
        <w:pStyle w:val="8"/>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14:paraId="162DBFD5">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14:paraId="21263B6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14:paraId="220415D6">
      <w:pPr>
        <w:pStyle w:val="8"/>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14:paraId="0BFB999E">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9.3  </w:t>
      </w:r>
      <w:r>
        <w:rPr>
          <w:rFonts w:hint="eastAsia" w:asciiTheme="minorEastAsia" w:hAnsiTheme="minorEastAsia" w:eastAsiaTheme="minorEastAsia"/>
          <w:color w:val="000000" w:themeColor="text1"/>
          <w:sz w:val="28"/>
          <w:szCs w:val="28"/>
          <w:highlight w:val="none"/>
          <w14:textFill>
            <w14:solidFill>
              <w14:schemeClr w14:val="tx1"/>
            </w14:solidFill>
          </w14:textFill>
        </w:rPr>
        <w:t>甲方依照本协议第9条解除协议的，乙方应在甲方向其发出解除通知之日起</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3日</w:t>
      </w:r>
      <w:r>
        <w:rPr>
          <w:rFonts w:hint="eastAsia" w:asciiTheme="minorEastAsia" w:hAnsiTheme="minorEastAsia" w:eastAsiaTheme="minorEastAsia"/>
          <w:color w:val="000000" w:themeColor="text1"/>
          <w:sz w:val="28"/>
          <w:szCs w:val="28"/>
          <w:highlight w:val="none"/>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w:t>
      </w:r>
      <w:r>
        <w:rPr>
          <w:rFonts w:hint="eastAsia" w:asciiTheme="minorEastAsia" w:hAnsiTheme="minorEastAsia" w:eastAsiaTheme="minorEastAsia"/>
          <w:color w:val="000000" w:themeColor="text1"/>
          <w:sz w:val="28"/>
          <w:szCs w:val="28"/>
          <w14:textFill>
            <w14:solidFill>
              <w14:schemeClr w14:val="tx1"/>
            </w14:solidFill>
          </w14:textFill>
        </w:rPr>
        <w:t>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14:paraId="26D02467">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14:paraId="0451EFD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14:paraId="36192C4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374ABB8F">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14:paraId="3BB20FC1">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14:paraId="1C476ACA">
      <w:pPr>
        <w:pStyle w:val="29"/>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14:paraId="07EF0114">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14:paraId="3DC5CA5B">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14:paraId="70AE22BC">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14:paraId="58EBD343">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14:paraId="2B765C34">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14:paraId="386F06E5">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14:paraId="3F504934">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14:paraId="17353BFA">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14:paraId="5BF87B58">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民事诉讼程序后一审、二审、再审和执行程序及其他程序中相关文件和法律文书的送达。</w:t>
      </w:r>
    </w:p>
    <w:p w14:paraId="4A64B90E">
      <w:pPr>
        <w:spacing w:line="560" w:lineRule="exact"/>
        <w:ind w:firstLine="450" w:firstLineChars="200"/>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（1）甲方确认其有效的送达地址为：(名称、地址、邮编、联系人、联系电话、电子邮箱)</w:t>
      </w:r>
    </w:p>
    <w:p w14:paraId="7278EEAA">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14:paraId="5ED0C5EF">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0067AC5B">
      <w:pPr>
        <w:spacing w:line="560" w:lineRule="exact"/>
        <w:ind w:firstLine="450" w:firstLineChars="200"/>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14:paraId="6A828E93">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14:paraId="42800097">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79418E14">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一方在协议争议阶段或协议争议进入执行阶段变更本协议确认的送达地址的，应向法院履行送达地址变更通知义务。</w:t>
      </w:r>
    </w:p>
    <w:p w14:paraId="1E6339A7">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14:paraId="46DACD77">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14:paraId="66A3F08E">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  通过专人递送的，在送达收件人时；</w:t>
      </w:r>
    </w:p>
    <w:p w14:paraId="2EA0E436">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  以邮资预付的挂号信或登记邮件形式（要求有查收回执）发送的，在送达邮寄地址时；</w:t>
      </w:r>
    </w:p>
    <w:p w14:paraId="6EFE24A8">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  以电邮方式发送的，在电邮发出时。</w:t>
      </w:r>
    </w:p>
    <w:p w14:paraId="1B6C0122">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14:paraId="362619CF">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14:paraId="268DC134">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14:paraId="5372BE33">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14:paraId="35E9DEA1">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14:paraId="34C351B2">
      <w:pPr>
        <w:pStyle w:val="2"/>
        <w:numPr>
          <w:ilvl w:val="-1"/>
          <w:numId w:val="0"/>
        </w:numPr>
        <w:tabs>
          <w:tab w:val="clear" w:pos="1260"/>
        </w:tabs>
        <w:ind w:left="0"/>
        <w:rPr>
          <w:rFonts w:hint="eastAsia"/>
          <w:lang w:eastAsia="zh-CN"/>
        </w:rPr>
      </w:pPr>
    </w:p>
    <w:p w14:paraId="7050D522">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14:paraId="7D34EEA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14:paraId="756D02D1">
      <w:pPr>
        <w:pStyle w:val="28"/>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14:paraId="0C77792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14:paraId="74D0A31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14:paraId="75B9907E">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14:paraId="2641F3F3">
      <w:pPr>
        <w:pStyle w:val="29"/>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14:paraId="7B48161B">
      <w:pPr>
        <w:pStyle w:val="29"/>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13.7</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除法律规定或当事人另有约定外，因本协议订立、履行及争议解决发生的费用（包括但不限于诉讼、保全、</w:t>
      </w: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保全保险、鉴定、</w:t>
      </w:r>
      <w:r>
        <w:rPr>
          <w:rFonts w:hint="eastAsia" w:asciiTheme="minorEastAsia" w:hAnsiTheme="minorEastAsia" w:eastAsiaTheme="minorEastAsia" w:cstheme="minorEastAsia"/>
          <w:b/>
          <w:color w:val="000000" w:themeColor="text1"/>
          <w:sz w:val="28"/>
          <w:szCs w:val="28"/>
          <w14:textFill>
            <w14:solidFill>
              <w14:schemeClr w14:val="tx1"/>
            </w14:solidFill>
          </w14:textFill>
        </w:rPr>
        <w:t>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14:paraId="4E293386">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14:paraId="503F8D7F">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14:paraId="5C437230">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14:paraId="0533766D">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14:paraId="13B5E09A">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14:paraId="76ABD260">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14:paraId="7427D59D">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14:paraId="09C41DF5">
      <w:pPr>
        <w:pStyle w:val="28"/>
        <w:spacing w:before="0" w:after="0" w:line="560" w:lineRule="exact"/>
        <w:ind w:firstLine="700"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   ]份，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cs="Times New Roman" w:asciiTheme="minorEastAsia" w:hAnsiTheme="minorEastAsia"/>
          <w:color w:val="000000" w:themeColor="text1"/>
          <w:kern w:val="2"/>
          <w:sz w:val="28"/>
          <w:szCs w:val="28"/>
          <w14:textFill>
            <w14:solidFill>
              <w14:schemeClr w14:val="tx1"/>
            </w14:solidFill>
          </w14:textFill>
        </w:rPr>
        <w:t>[   ]份，各正本均具同等法律效力。</w:t>
      </w:r>
      <w:bookmarkStart w:id="25" w:name="_DV_M501"/>
      <w:bookmarkEnd w:id="25"/>
    </w:p>
    <w:p w14:paraId="5FDA3B1F">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14:paraId="1CC4794C">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14:paraId="5A04AA83">
      <w:pPr>
        <w:spacing w:line="560" w:lineRule="exact"/>
        <w:rPr>
          <w:rFonts w:hint="eastAsia" w:asciiTheme="minorEastAsia" w:hAnsiTheme="minorEastAsia" w:eastAsiaTheme="minorEastAsia"/>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Cs/>
          <w:color w:val="000000" w:themeColor="text1"/>
          <w:sz w:val="28"/>
          <w:szCs w:val="28"/>
          <w:lang w:val="en-US" w:eastAsia="zh-CN"/>
          <w14:textFill>
            <w14:solidFill>
              <w14:schemeClr w14:val="tx1"/>
            </w14:solidFill>
          </w14:textFill>
        </w:rPr>
        <w:t>本页无正文，系《债权转让协议》之签署页</w:t>
      </w:r>
      <w:r>
        <w:rPr>
          <w:rFonts w:hint="eastAsia" w:asciiTheme="minorEastAsia" w:hAnsiTheme="minorEastAsia" w:eastAsiaTheme="minorEastAsia"/>
          <w:bCs/>
          <w:color w:val="000000" w:themeColor="text1"/>
          <w:sz w:val="28"/>
          <w:szCs w:val="28"/>
          <w:lang w:eastAsia="zh-CN"/>
          <w14:textFill>
            <w14:solidFill>
              <w14:schemeClr w14:val="tx1"/>
            </w14:solidFill>
          </w14:textFill>
        </w:rPr>
        <w:t>）</w:t>
      </w:r>
    </w:p>
    <w:p w14:paraId="512817CA">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14:paraId="6F47524F">
      <w:pPr>
        <w:pStyle w:val="2"/>
        <w:numPr>
          <w:ilvl w:val="1"/>
          <w:numId w:val="0"/>
        </w:numPr>
        <w:tabs>
          <w:tab w:val="clear" w:pos="1260"/>
        </w:tabs>
        <w:rPr>
          <w:rFonts w:hint="eastAsia"/>
        </w:rPr>
      </w:pPr>
    </w:p>
    <w:p w14:paraId="0CA691C5">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贵州</w:t>
      </w:r>
      <w:r>
        <w:rPr>
          <w:rFonts w:hint="eastAsia" w:asciiTheme="minorEastAsia" w:hAnsiTheme="minorEastAsia" w:eastAsiaTheme="minorEastAsia"/>
          <w:color w:val="000000" w:themeColor="text1"/>
          <w:sz w:val="28"/>
          <w:szCs w:val="28"/>
          <w14:textFill>
            <w14:solidFill>
              <w14:schemeClr w14:val="tx1"/>
            </w14:solidFill>
          </w14:textFill>
        </w:rPr>
        <w:t>分公司</w:t>
      </w:r>
    </w:p>
    <w:p w14:paraId="4E484FF7">
      <w:pPr>
        <w:pStyle w:val="29"/>
        <w:widowControl w:val="0"/>
        <w:tabs>
          <w:tab w:val="left" w:pos="4680"/>
        </w:tabs>
        <w:spacing w:before="163" w:after="163" w:line="520" w:lineRule="exact"/>
        <w:rPr>
          <w:rFonts w:hint="eastAsia" w:ascii="宋体" w:hAnsi="宋体" w:eastAsia="宋体"/>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cs="Times New Roman" w:asciiTheme="minorEastAsia" w:hAnsiTheme="minorEastAsia" w:eastAsiaTheme="minorEastAsia"/>
          <w:snapToGrid/>
          <w:color w:val="000000" w:themeColor="text1"/>
          <w:kern w:val="2"/>
          <w:sz w:val="28"/>
          <w:szCs w:val="28"/>
          <w:lang w:val="en-US" w:eastAsia="zh-CN" w:bidi="ar-SA"/>
          <w14:textFill>
            <w14:solidFill>
              <w14:schemeClr w14:val="tx1"/>
            </w14:solidFill>
          </w14:textFill>
        </w:rPr>
        <w:t>张旭东</w:t>
      </w:r>
    </w:p>
    <w:p w14:paraId="2330F26D">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09614A4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04F021D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1159001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7B964A88">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7BECCEE8">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14:paraId="1E02C880">
      <w:pPr>
        <w:pStyle w:val="5"/>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6A0E91D4">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4A20E4B2">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3C7E6FD2">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14:paraId="3E9D8AFD">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4D16A062">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713724CB">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14:paraId="6729A90C">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14:paraId="04E760D5">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14:paraId="6C67D63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2025年10月31日</w:t>
      </w:r>
      <w:r>
        <w:rPr>
          <w:rFonts w:hint="eastAsia" w:asciiTheme="minorEastAsia" w:hAnsiTheme="minorEastAsia" w:eastAsiaTheme="minorEastAsia"/>
          <w:color w:val="000000" w:themeColor="text1"/>
          <w:sz w:val="28"/>
          <w:szCs w:val="28"/>
          <w14:textFill>
            <w14:solidFill>
              <w14:schemeClr w14:val="tx1"/>
            </w14:solidFill>
          </w14:textFill>
        </w:rPr>
        <w:t xml:space="preserve">            金额单位： 人民币 元</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022"/>
        <w:gridCol w:w="1575"/>
        <w:gridCol w:w="1510"/>
        <w:gridCol w:w="1421"/>
        <w:gridCol w:w="1417"/>
      </w:tblGrid>
      <w:tr w14:paraId="2AE8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Pr>
          <w:p w14:paraId="7B511969">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2022" w:type="dxa"/>
          </w:tcPr>
          <w:p w14:paraId="32A549BB">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575" w:type="dxa"/>
          </w:tcPr>
          <w:p w14:paraId="5E6C71A9">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510" w:type="dxa"/>
          </w:tcPr>
          <w:p w14:paraId="75E09556">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21" w:type="dxa"/>
          </w:tcPr>
          <w:p w14:paraId="335C90A0">
            <w:pPr>
              <w:spacing w:line="560" w:lineRule="exact"/>
              <w:jc w:val="center"/>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欠息</w:t>
            </w:r>
          </w:p>
        </w:tc>
        <w:tc>
          <w:tcPr>
            <w:tcW w:w="1417" w:type="dxa"/>
          </w:tcPr>
          <w:p w14:paraId="1DD584D8">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14:paraId="66F5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74" w:type="dxa"/>
          </w:tcPr>
          <w:p w14:paraId="2549E19C">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022" w:type="dxa"/>
          </w:tcPr>
          <w:p w14:paraId="64E5067D">
            <w:pPr>
              <w:spacing w:line="560" w:lineRule="exact"/>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贵州省福明置业有限公司</w:t>
            </w:r>
          </w:p>
        </w:tc>
        <w:tc>
          <w:tcPr>
            <w:tcW w:w="1575" w:type="dxa"/>
          </w:tcPr>
          <w:p w14:paraId="6896FEE0">
            <w:pPr>
              <w:spacing w:line="560" w:lineRule="exact"/>
              <w:jc w:val="center"/>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default" w:cs="Times New Roman" w:asciiTheme="minorEastAsia" w:hAnsiTheme="minorEastAsia" w:eastAsiaTheme="minorEastAsia"/>
                <w:color w:val="000000" w:themeColor="text1"/>
                <w:sz w:val="24"/>
                <w:szCs w:val="24"/>
                <w:lang w:val="en-US"/>
                <w14:textFill>
                  <w14:solidFill>
                    <w14:schemeClr w14:val="tx1"/>
                  </w14:solidFill>
                </w14:textFill>
              </w:rPr>
              <w:t>436,949,719.27</w:t>
            </w:r>
          </w:p>
        </w:tc>
        <w:tc>
          <w:tcPr>
            <w:tcW w:w="1510" w:type="dxa"/>
          </w:tcPr>
          <w:p w14:paraId="1630B630">
            <w:pPr>
              <w:spacing w:line="560" w:lineRule="exact"/>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131,583,323.00</w:t>
            </w:r>
          </w:p>
        </w:tc>
        <w:tc>
          <w:tcPr>
            <w:tcW w:w="1421" w:type="dxa"/>
          </w:tcPr>
          <w:p w14:paraId="6829EFDB">
            <w:pPr>
              <w:spacing w:line="560" w:lineRule="exact"/>
              <w:jc w:val="center"/>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t>305,3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66</w:t>
            </w:r>
            <w: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t>,396.27</w:t>
            </w:r>
          </w:p>
        </w:tc>
        <w:tc>
          <w:tcPr>
            <w:tcW w:w="1417" w:type="dxa"/>
          </w:tcPr>
          <w:p w14:paraId="70EB46C8">
            <w:pPr>
              <w:spacing w:line="560" w:lineRule="exact"/>
              <w:jc w:val="center"/>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代垫费用：27040</w:t>
            </w:r>
            <w: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t>.00</w:t>
            </w:r>
          </w:p>
        </w:tc>
      </w:tr>
      <w:tr w14:paraId="72B7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Pr>
          <w:p w14:paraId="748FD84B">
            <w:pPr>
              <w:spacing w:line="560" w:lineRule="exact"/>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022" w:type="dxa"/>
          </w:tcPr>
          <w:p w14:paraId="70808CE8">
            <w:pPr>
              <w:spacing w:line="560" w:lineRule="exact"/>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贵州省福明置业有限公司</w:t>
            </w:r>
          </w:p>
        </w:tc>
        <w:tc>
          <w:tcPr>
            <w:tcW w:w="1575" w:type="dxa"/>
          </w:tcPr>
          <w:p w14:paraId="59FF67C4">
            <w:pPr>
              <w:spacing w:line="560" w:lineRule="exact"/>
              <w:jc w:val="center"/>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default" w:cs="Times New Roman" w:asciiTheme="minorEastAsia" w:hAnsiTheme="minorEastAsia" w:eastAsiaTheme="minorEastAsia"/>
                <w:color w:val="000000" w:themeColor="text1"/>
                <w:sz w:val="24"/>
                <w:szCs w:val="24"/>
                <w:lang w:val="en-US"/>
                <w14:textFill>
                  <w14:solidFill>
                    <w14:schemeClr w14:val="tx1"/>
                  </w14:solidFill>
                </w14:textFill>
              </w:rPr>
              <w:t>178,940,980.48</w:t>
            </w:r>
          </w:p>
        </w:tc>
        <w:tc>
          <w:tcPr>
            <w:tcW w:w="1510" w:type="dxa"/>
          </w:tcPr>
          <w:p w14:paraId="33D4E226">
            <w:pPr>
              <w:spacing w:line="560" w:lineRule="exact"/>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54,997,768.40</w:t>
            </w:r>
          </w:p>
        </w:tc>
        <w:tc>
          <w:tcPr>
            <w:tcW w:w="1421" w:type="dxa"/>
          </w:tcPr>
          <w:p w14:paraId="7A0016D6">
            <w:pPr>
              <w:spacing w:line="560" w:lineRule="exact"/>
              <w:jc w:val="center"/>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t>123,943,212.08</w:t>
            </w:r>
          </w:p>
        </w:tc>
        <w:tc>
          <w:tcPr>
            <w:tcW w:w="1417" w:type="dxa"/>
          </w:tcPr>
          <w:p w14:paraId="7E191DE5">
            <w:pPr>
              <w:spacing w:line="560" w:lineRule="exact"/>
              <w:jc w:val="center"/>
              <w:rPr>
                <w:rFonts w:hint="default" w:cs="Times New Roman" w:asciiTheme="minorEastAsia" w:hAnsiTheme="minorEastAsia" w:eastAsiaTheme="minorEastAsia"/>
                <w:color w:val="000000" w:themeColor="text1"/>
                <w:sz w:val="24"/>
                <w:szCs w:val="24"/>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代垫费用：</w:t>
            </w:r>
            <w: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t>43600.00</w:t>
            </w:r>
          </w:p>
        </w:tc>
      </w:tr>
      <w:bookmarkEnd w:id="26"/>
    </w:tbl>
    <w:p w14:paraId="40E5A22B">
      <w:pPr>
        <w:pStyle w:val="29"/>
        <w:widowControl/>
        <w:numPr>
          <w:ilvl w:val="0"/>
          <w:numId w:val="0"/>
        </w:numPr>
        <w:pBdr>
          <w:top w:val="none" w:color="auto" w:sz="0" w:space="0"/>
          <w:left w:val="none" w:color="auto" w:sz="0" w:space="0"/>
          <w:bottom w:val="none" w:color="auto" w:sz="0" w:space="0"/>
          <w:right w:val="none" w:color="auto" w:sz="0" w:space="0"/>
        </w:pBdr>
        <w:tabs>
          <w:tab w:val="left" w:pos="4680"/>
        </w:tabs>
        <w:spacing w:line="400" w:lineRule="exact"/>
        <w:ind w:firstLine="240" w:firstLineChars="100"/>
        <w:textAlignment w:val="baseline"/>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lang w:val="en-US" w:eastAsia="zh-CN"/>
          <w14:textFill>
            <w14:solidFill>
              <w14:schemeClr w14:val="tx1"/>
            </w14:solidFill>
          </w14:textFill>
        </w:rPr>
        <w:t>备</w:t>
      </w:r>
      <w:r>
        <w:rPr>
          <w:rFonts w:hint="eastAsia" w:ascii="宋体" w:hAnsi="宋体"/>
          <w:bCs/>
          <w:color w:val="000000" w:themeColor="text1"/>
          <w:szCs w:val="24"/>
          <w14:textFill>
            <w14:solidFill>
              <w14:schemeClr w14:val="tx1"/>
            </w14:solidFill>
          </w14:textFill>
        </w:rPr>
        <w:t>注：</w:t>
      </w:r>
    </w:p>
    <w:p w14:paraId="5E9FE0CA">
      <w:pPr>
        <w:pStyle w:val="29"/>
        <w:widowControl/>
        <w:numPr>
          <w:ilvl w:val="0"/>
          <w:numId w:val="0"/>
        </w:numPr>
        <w:pBdr>
          <w:top w:val="none" w:color="auto" w:sz="0" w:space="0"/>
          <w:left w:val="none" w:color="auto" w:sz="0" w:space="0"/>
          <w:bottom w:val="none" w:color="auto" w:sz="0" w:space="0"/>
          <w:right w:val="none" w:color="auto" w:sz="0" w:space="0"/>
        </w:pBdr>
        <w:tabs>
          <w:tab w:val="left" w:pos="4680"/>
        </w:tabs>
        <w:spacing w:line="400" w:lineRule="exact"/>
        <w:ind w:firstLine="480" w:firstLineChars="200"/>
        <w:textAlignment w:val="baseline"/>
        <w:rPr>
          <w:rFonts w:hint="eastAsia" w:ascii="宋体" w:hAnsi="宋体" w:eastAsia="宋体" w:cs="Times New Roman"/>
          <w:bCs/>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bCs/>
          <w:color w:val="000000" w:themeColor="text1"/>
          <w:szCs w:val="24"/>
          <w:shd w:val="clear" w:fill="FFFFFF"/>
          <w:lang w:val="en-US" w:eastAsia="zh-CN"/>
          <w14:textFill>
            <w14:solidFill>
              <w14:schemeClr w14:val="tx1"/>
            </w14:solidFill>
          </w14:textFill>
        </w:rPr>
        <w:t>1.上述标的债权及从权利已获生效法律文书支持，</w:t>
      </w:r>
      <w:r>
        <w:rPr>
          <w:rFonts w:hint="eastAsia" w:ascii="宋体" w:hAnsi="宋体" w:eastAsia="宋体"/>
          <w:bCs/>
          <w:color w:val="000000" w:themeColor="text1"/>
          <w:szCs w:val="24"/>
          <w:highlight w:val="none"/>
          <w:shd w:val="clear" w:fill="FFFFFF"/>
          <w:lang w:val="en-US" w:eastAsia="zh-CN"/>
          <w14:textFill>
            <w14:solidFill>
              <w14:schemeClr w14:val="tx1"/>
            </w14:solidFill>
          </w14:textFill>
        </w:rPr>
        <w:t>本</w:t>
      </w:r>
      <w:r>
        <w:rPr>
          <w:rFonts w:hint="eastAsia" w:ascii="宋体" w:hAnsi="宋体" w:eastAsia="宋体"/>
          <w:bCs/>
          <w:color w:val="000000" w:themeColor="text1"/>
          <w:szCs w:val="24"/>
          <w:shd w:val="clear" w:fill="FFFFFF"/>
          <w:lang w:val="en-US" w:eastAsia="zh-CN"/>
          <w14:textFill>
            <w14:solidFill>
              <w14:schemeClr w14:val="tx1"/>
            </w14:solidFill>
          </w14:textFill>
        </w:rPr>
        <w:t>清单仅列示截止2025年</w:t>
      </w:r>
      <w:r>
        <w:rPr>
          <w:rFonts w:hint="default" w:ascii="宋体" w:hAnsi="宋体" w:eastAsia="宋体"/>
          <w:bCs/>
          <w:color w:val="000000" w:themeColor="text1"/>
          <w:szCs w:val="24"/>
          <w:shd w:val="clear" w:fill="FFFFFF"/>
          <w:lang w:val="en-US" w:eastAsia="zh-CN"/>
          <w14:textFill>
            <w14:solidFill>
              <w14:schemeClr w14:val="tx1"/>
            </w14:solidFill>
          </w14:textFill>
        </w:rPr>
        <w:t>10</w:t>
      </w:r>
      <w:r>
        <w:rPr>
          <w:rFonts w:hint="eastAsia" w:ascii="宋体" w:hAnsi="宋体" w:eastAsia="宋体"/>
          <w:bCs/>
          <w:color w:val="000000" w:themeColor="text1"/>
          <w:szCs w:val="24"/>
          <w:shd w:val="clear" w:fill="FFFFFF"/>
          <w:lang w:val="en-US" w:eastAsia="zh-CN"/>
          <w14:textFill>
            <w14:solidFill>
              <w14:schemeClr w14:val="tx1"/>
            </w14:solidFill>
          </w14:textFill>
        </w:rPr>
        <w:t>月31日的债权本金、收益、重组宽限补偿金、代垫费用，</w:t>
      </w:r>
      <w:r>
        <w:rPr>
          <w:rFonts w:hint="eastAsia" w:ascii="宋体" w:hAnsi="宋体" w:eastAsia="宋体" w:cs="Times New Roman"/>
          <w:bCs/>
          <w:i w:val="0"/>
          <w:iCs w:val="0"/>
          <w:caps w:val="0"/>
          <w:color w:val="000000" w:themeColor="text1"/>
          <w:spacing w:val="0"/>
          <w:sz w:val="24"/>
          <w:szCs w:val="24"/>
          <w:shd w:val="clear" w:fill="FFFFFF"/>
          <w:vertAlign w:val="baseline"/>
          <w:lang w:val="en-US" w:eastAsia="zh-CN"/>
          <w14:textFill>
            <w14:solidFill>
              <w14:schemeClr w14:val="tx1"/>
            </w14:solidFill>
          </w14:textFill>
        </w:rPr>
        <w:t>债务人实际应支付的</w:t>
      </w:r>
      <w:r>
        <w:rPr>
          <w:rFonts w:hint="eastAsia" w:ascii="宋体" w:hAnsi="宋体" w:cs="Times New Roman"/>
          <w:bCs/>
          <w:i w:val="0"/>
          <w:iCs w:val="0"/>
          <w:caps w:val="0"/>
          <w:color w:val="000000" w:themeColor="text1"/>
          <w:spacing w:val="0"/>
          <w:sz w:val="24"/>
          <w:szCs w:val="24"/>
          <w:shd w:val="clear" w:fill="FFFFFF"/>
          <w:vertAlign w:val="baseline"/>
          <w:lang w:val="en-US" w:eastAsia="zh-CN"/>
          <w14:textFill>
            <w14:solidFill>
              <w14:schemeClr w14:val="tx1"/>
            </w14:solidFill>
          </w14:textFill>
        </w:rPr>
        <w:t>债务</w:t>
      </w:r>
      <w:r>
        <w:rPr>
          <w:rFonts w:hint="eastAsia" w:ascii="宋体" w:hAnsi="宋体" w:eastAsia="宋体" w:cs="Times New Roman"/>
          <w:bCs/>
          <w:i w:val="0"/>
          <w:iCs w:val="0"/>
          <w:caps w:val="0"/>
          <w:color w:val="000000" w:themeColor="text1"/>
          <w:spacing w:val="0"/>
          <w:sz w:val="24"/>
          <w:szCs w:val="24"/>
          <w:shd w:val="clear" w:fill="FFFFFF"/>
          <w:vertAlign w:val="baseline"/>
          <w:lang w:val="en-US" w:eastAsia="zh-CN"/>
          <w14:textFill>
            <w14:solidFill>
              <w14:schemeClr w14:val="tx1"/>
            </w14:solidFill>
          </w14:textFill>
        </w:rPr>
        <w:t>等，以债权相关协议、生效法律文书及法律法规所确定和执行现状为准。</w:t>
      </w:r>
    </w:p>
    <w:p w14:paraId="5E59A77D">
      <w:pPr>
        <w:pStyle w:val="29"/>
        <w:keepNext w:val="0"/>
        <w:keepLines w:val="0"/>
        <w:widowControl/>
        <w:suppressLineNumbers w:val="0"/>
        <w:pBdr>
          <w:top w:val="none" w:color="auto" w:sz="0" w:space="0"/>
          <w:left w:val="none" w:color="auto" w:sz="0" w:space="0"/>
          <w:bottom w:val="none" w:color="auto" w:sz="0" w:space="0"/>
          <w:right w:val="none" w:color="auto" w:sz="0" w:space="0"/>
        </w:pBdr>
        <w:tabs>
          <w:tab w:val="left" w:pos="4680"/>
        </w:tabs>
        <w:spacing w:before="0" w:beforeAutospacing="0" w:after="0" w:afterAutospacing="0" w:line="400" w:lineRule="exact"/>
        <w:ind w:right="0" w:firstLine="480" w:firstLineChars="200"/>
        <w:jc w:val="both"/>
        <w:textAlignment w:val="baseline"/>
        <w:rPr>
          <w:rFonts w:hint="eastAsia" w:ascii="宋体" w:hAnsi="宋体" w:eastAsia="宋体" w:cs="Times New Roman"/>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Times New Roman"/>
          <w:bCs/>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ascii="宋体" w:hAnsi="宋体" w:eastAsia="宋体" w:cs="Times New Roman"/>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上述债权金额及抵质押物仅为一般性描述，如有错漏，以债务人、抵质押人等原已签署的交易合同、抵质押权证/抵质押登记现状和生效法律文书、司法执行现状为准。</w:t>
      </w:r>
    </w:p>
    <w:p w14:paraId="16E71843">
      <w:pPr>
        <w:pStyle w:val="29"/>
        <w:widowControl/>
        <w:numPr>
          <w:ilvl w:val="0"/>
          <w:numId w:val="0"/>
        </w:numPr>
        <w:pBdr>
          <w:top w:val="none" w:color="auto" w:sz="0" w:space="0"/>
          <w:left w:val="none" w:color="auto" w:sz="0" w:space="0"/>
          <w:bottom w:val="none" w:color="auto" w:sz="0" w:space="0"/>
          <w:right w:val="none" w:color="auto" w:sz="0" w:space="0"/>
        </w:pBdr>
        <w:tabs>
          <w:tab w:val="left" w:pos="4680"/>
        </w:tabs>
        <w:spacing w:line="400" w:lineRule="exact"/>
        <w:textAlignment w:val="baseline"/>
        <w:rPr>
          <w:rFonts w:hint="default" w:ascii="宋体" w:hAnsi="宋体" w:eastAsia="宋体" w:cs="Times New Roman"/>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pPr>
    </w:p>
    <w:p w14:paraId="60EE7BA1">
      <w:pPr>
        <w:pStyle w:val="29"/>
        <w:tabs>
          <w:tab w:val="left" w:pos="4680"/>
        </w:tabs>
        <w:spacing w:line="400" w:lineRule="exact"/>
        <w:rPr>
          <w:rFonts w:hint="eastAsia" w:ascii="宋体" w:hAnsi="宋体"/>
          <w:bCs/>
          <w:color w:val="000000" w:themeColor="text1"/>
          <w:szCs w:val="24"/>
          <w14:textFill>
            <w14:solidFill>
              <w14:schemeClr w14:val="tx1"/>
            </w14:solidFill>
          </w14:textFill>
        </w:rPr>
      </w:pPr>
    </w:p>
    <w:p w14:paraId="720BCBD5">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56149FF">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4397389">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8AD83F3">
      <w:pPr>
        <w:pStyle w:val="29"/>
        <w:widowControl w:val="0"/>
        <w:tabs>
          <w:tab w:val="left" w:pos="4680"/>
        </w:tabs>
        <w:spacing w:line="56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eastAsia="宋体" w:cs="Times New Roman"/>
          <w:b/>
          <w:color w:val="000000" w:themeColor="text1"/>
          <w:sz w:val="28"/>
          <w:szCs w:val="28"/>
          <w14:textFill>
            <w14:solidFill>
              <w14:schemeClr w14:val="tx1"/>
            </w14:solidFill>
          </w14:textFill>
        </w:rPr>
        <w:t>中国中信金融资产管理股份有限公司</w:t>
      </w:r>
      <w:r>
        <w:rPr>
          <w:rFonts w:hint="eastAsia" w:ascii="宋体" w:hAnsi="宋体" w:eastAsia="宋体" w:cs="Times New Roman"/>
          <w:b/>
          <w:color w:val="000000" w:themeColor="text1"/>
          <w:sz w:val="28"/>
          <w:szCs w:val="28"/>
          <w:lang w:val="en-US" w:eastAsia="zh-CN"/>
          <w14:textFill>
            <w14:solidFill>
              <w14:schemeClr w14:val="tx1"/>
            </w14:solidFill>
          </w14:textFill>
        </w:rPr>
        <w:t>贵州省</w:t>
      </w:r>
      <w:r>
        <w:rPr>
          <w:rFonts w:hint="eastAsia" w:ascii="宋体" w:hAnsi="宋体" w:eastAsia="宋体" w:cs="Times New Roman"/>
          <w:b/>
          <w:color w:val="000000" w:themeColor="text1"/>
          <w:sz w:val="28"/>
          <w:szCs w:val="28"/>
          <w14:textFill>
            <w14:solidFill>
              <w14:schemeClr w14:val="tx1"/>
            </w14:solidFill>
          </w14:textFill>
        </w:rPr>
        <w:t>分公司</w:t>
      </w:r>
    </w:p>
    <w:p w14:paraId="03FBCCFF">
      <w:pPr>
        <w:pStyle w:val="29"/>
        <w:widowControl w:val="0"/>
        <w:tabs>
          <w:tab w:val="left" w:pos="4680"/>
        </w:tabs>
        <w:spacing w:line="560" w:lineRule="exact"/>
        <w:rPr>
          <w:rFonts w:hint="eastAsia" w:ascii="宋体" w:hAnsi="宋体" w:eastAsia="宋体"/>
          <w:bCs/>
          <w:color w:val="000000" w:themeColor="text1"/>
          <w:sz w:val="28"/>
          <w:szCs w:val="28"/>
          <w:lang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lang w:val="en-US" w:eastAsia="zh-CN"/>
          <w14:textFill>
            <w14:solidFill>
              <w14:schemeClr w14:val="tx1"/>
            </w14:solidFill>
          </w14:textFill>
        </w:rPr>
        <w:t>张旭东</w:t>
      </w:r>
    </w:p>
    <w:p w14:paraId="55D59497">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FBD6FC5">
      <w:pPr>
        <w:pStyle w:val="2"/>
        <w:numPr>
          <w:ilvl w:val="1"/>
          <w:numId w:val="0"/>
        </w:numPr>
        <w:tabs>
          <w:tab w:val="clear" w:pos="1260"/>
        </w:tabs>
        <w:rPr>
          <w:rFonts w:hint="eastAsia" w:asciiTheme="minorEastAsia" w:hAnsiTheme="minorEastAsia" w:eastAsiaTheme="minorEastAsia"/>
          <w:color w:val="000000" w:themeColor="text1"/>
          <w:sz w:val="24"/>
          <w:szCs w:val="24"/>
          <w14:textFill>
            <w14:solidFill>
              <w14:schemeClr w14:val="tx1"/>
            </w14:solidFill>
          </w14:textFill>
        </w:rPr>
      </w:pPr>
    </w:p>
    <w:p w14:paraId="6AED5BFF">
      <w:pPr>
        <w:rPr>
          <w:rFonts w:hint="eastAsia"/>
        </w:rPr>
      </w:pPr>
    </w:p>
    <w:p w14:paraId="7F97DB36">
      <w:pPr>
        <w:pStyle w:val="3"/>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420939166"/>
      <w:bookmarkStart w:id="28" w:name="_Toc232937585"/>
      <w:bookmarkStart w:id="29" w:name="_Toc340744028"/>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7"/>
      <w:bookmarkEnd w:id="28"/>
      <w:bookmarkEnd w:id="29"/>
    </w:p>
    <w:p w14:paraId="6A6D5396">
      <w:pPr>
        <w:pStyle w:val="35"/>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14:paraId="2090D9E8">
      <w:pPr>
        <w:pStyle w:val="35"/>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14:paraId="3ED2C74D">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14:paraId="636B48B1">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14:paraId="5E3792C6">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14:textFill>
            <w14:solidFill>
              <w14:schemeClr w14:val="tx1"/>
            </w14:solidFill>
          </w14:textFill>
        </w:rPr>
        <w:t>中信金融资产管理股份有限公司</w:t>
      </w:r>
      <w:r>
        <w:rPr>
          <w:rFonts w:hint="eastAsia" w:asciiTheme="minorEastAsia" w:hAnsiTheme="minorEastAsia" w:eastAsiaTheme="minorEastAsia"/>
          <w:color w:val="000000" w:themeColor="text1"/>
          <w:sz w:val="24"/>
          <w:lang w:val="en-US" w:eastAsia="zh-CN"/>
          <w14:textFill>
            <w14:solidFill>
              <w14:schemeClr w14:val="tx1"/>
            </w14:solidFill>
          </w14:textFill>
        </w:rPr>
        <w:t>贵州省</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14:paraId="2CDA3472">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14:paraId="745B3FF1">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5"/>
        <w:tblW w:w="9456" w:type="dxa"/>
        <w:tblInd w:w="0" w:type="dxa"/>
        <w:tblLayout w:type="fixed"/>
        <w:tblCellMar>
          <w:top w:w="0" w:type="dxa"/>
          <w:left w:w="108" w:type="dxa"/>
          <w:bottom w:w="0" w:type="dxa"/>
          <w:right w:w="108" w:type="dxa"/>
        </w:tblCellMar>
      </w:tblPr>
      <w:tblGrid>
        <w:gridCol w:w="5211"/>
        <w:gridCol w:w="4245"/>
      </w:tblGrid>
      <w:tr w14:paraId="45A56D68">
        <w:tblPrEx>
          <w:tblCellMar>
            <w:top w:w="0" w:type="dxa"/>
            <w:left w:w="108" w:type="dxa"/>
            <w:bottom w:w="0" w:type="dxa"/>
            <w:right w:w="108" w:type="dxa"/>
          </w:tblCellMar>
        </w:tblPrEx>
        <w:tc>
          <w:tcPr>
            <w:tcW w:w="5211" w:type="dxa"/>
            <w:vAlign w:val="center"/>
          </w:tcPr>
          <w:p w14:paraId="5862C5E2">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转让方：中国中信金融资产管理股份有限公司</w:t>
            </w:r>
          </w:p>
          <w:p w14:paraId="083EF6BE">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贵州省</w:t>
            </w:r>
            <w:r>
              <w:rPr>
                <w:rFonts w:hint="eastAsia" w:asciiTheme="minorEastAsia" w:hAnsiTheme="minorEastAsia" w:eastAsiaTheme="minorEastAsia"/>
                <w:color w:val="000000" w:themeColor="text1"/>
                <w:sz w:val="24"/>
                <w14:textFill>
                  <w14:solidFill>
                    <w14:schemeClr w14:val="tx1"/>
                  </w14:solidFill>
                </w14:textFill>
              </w:rPr>
              <w:t>分公司（盖章）</w:t>
            </w:r>
          </w:p>
          <w:p w14:paraId="4A7C2C6E">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14:paraId="6F9AF4BB">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14:paraId="45F71A18">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14:paraId="5F3C62F1">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14:paraId="64A14945">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14:paraId="5A01A1C6">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14:paraId="1FAD0A64">
        <w:tblPrEx>
          <w:tblCellMar>
            <w:top w:w="0" w:type="dxa"/>
            <w:left w:w="108" w:type="dxa"/>
            <w:bottom w:w="0" w:type="dxa"/>
            <w:right w:w="108" w:type="dxa"/>
          </w:tblCellMar>
        </w:tblPrEx>
        <w:tc>
          <w:tcPr>
            <w:tcW w:w="5211" w:type="dxa"/>
            <w:vAlign w:val="center"/>
          </w:tcPr>
          <w:p w14:paraId="1314993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负责人/授权代理人：</w:t>
            </w:r>
            <w:r>
              <w:rPr>
                <w:rFonts w:hint="eastAsia" w:asciiTheme="minorEastAsia" w:hAnsiTheme="minorEastAsia" w:eastAsiaTheme="minorEastAsia"/>
                <w:color w:val="000000" w:themeColor="text1"/>
                <w:sz w:val="24"/>
                <w:lang w:val="en-US" w:eastAsia="zh-CN"/>
                <w14:textFill>
                  <w14:solidFill>
                    <w14:schemeClr w14:val="tx1"/>
                  </w14:solidFill>
                </w14:textFill>
              </w:rPr>
              <w:t>张旭东</w:t>
            </w:r>
          </w:p>
          <w:p w14:paraId="6FD460DB">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14:paraId="2C61525B">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14:paraId="6C7E6764">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14:paraId="65846CA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14:paraId="191D963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14:paraId="12EA6AFD">
        <w:tblPrEx>
          <w:tblCellMar>
            <w:top w:w="0" w:type="dxa"/>
            <w:left w:w="108" w:type="dxa"/>
            <w:bottom w:w="0" w:type="dxa"/>
            <w:right w:w="108" w:type="dxa"/>
          </w:tblCellMar>
        </w:tblPrEx>
        <w:tc>
          <w:tcPr>
            <w:tcW w:w="5211" w:type="dxa"/>
            <w:vAlign w:val="center"/>
          </w:tcPr>
          <w:p w14:paraId="5DA0829D">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14:paraId="7FE65B18">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14:paraId="56EE3200">
        <w:tblPrEx>
          <w:tblCellMar>
            <w:top w:w="0" w:type="dxa"/>
            <w:left w:w="108" w:type="dxa"/>
            <w:bottom w:w="0" w:type="dxa"/>
            <w:right w:w="108" w:type="dxa"/>
          </w:tblCellMar>
        </w:tblPrEx>
        <w:tc>
          <w:tcPr>
            <w:tcW w:w="5211" w:type="dxa"/>
            <w:vAlign w:val="center"/>
          </w:tcPr>
          <w:p w14:paraId="602F2B15">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14:paraId="7AFEDC99">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14:paraId="405498F7">
      <w:pPr>
        <w:pStyle w:val="35"/>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0" w:name="_Toc341252069"/>
      <w:bookmarkStart w:id="31" w:name="_Toc34074402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14:paraId="2CDEA442">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14:paraId="3A25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30AD6F5">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14:paraId="14C91444">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14:paraId="41350BAA">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14:paraId="3C24A089">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14:paraId="230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BB95BA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049C3515">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20ACDFCD">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0C8F1BE1">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33E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3AB77D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188FCD3C">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9A8B7D6">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6E969C0D">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43B0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F3EBF93">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44A0E275">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340CEDAF">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E1F0C80">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22F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EC21138">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1FB6173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CB40F7B">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21A1568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319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9F6EEB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3FFA290E">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39DA1D2F">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0F83BA4">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2D78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85A4391">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4DEBB77B">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A4ED0FA">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02EB9EF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14:paraId="0A68A070">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14:paraId="350144DF">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hint="eastAsia" w:asciiTheme="minorEastAsia" w:hAnsiTheme="minorEastAsia" w:eastAsiaTheme="minorEastAsia"/>
          <w:color w:val="000000" w:themeColor="text1"/>
          <w:szCs w:val="21"/>
          <w:lang w:val="en-US" w:eastAsia="zh-CN"/>
          <w14:textFill>
            <w14:solidFill>
              <w14:schemeClr w14:val="tx1"/>
            </w14:solidFill>
          </w14:textFill>
        </w:rPr>
        <w:t>贵州省</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14:paraId="18CD5888">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14:paraId="28886942">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14:paraId="055E5E02">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14:paraId="75C0F6B4">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14:paraId="15E8F373">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hint="eastAsia" w:asciiTheme="minorEastAsia" w:hAnsiTheme="minorEastAsia" w:eastAsiaTheme="minorEastAsia"/>
          <w:color w:val="000000" w:themeColor="text1"/>
          <w:szCs w:val="21"/>
          <w:lang w:val="en-US" w:eastAsia="zh-CN"/>
          <w14:textFill>
            <w14:solidFill>
              <w14:schemeClr w14:val="tx1"/>
            </w14:solidFill>
          </w14:textFill>
        </w:rPr>
        <w:t>贵州省</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14:paraId="2E94D776">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14:paraId="09B7CAEF">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14:paraId="563FD657">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837DA8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
        </w:sdtPr>
        <w:sdtContent>
          <w:p w14:paraId="2264D338">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14:paraId="1D88630C">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272CE7"/>
    <w:rsid w:val="01397C9C"/>
    <w:rsid w:val="01941722"/>
    <w:rsid w:val="01A51586"/>
    <w:rsid w:val="01ED30B6"/>
    <w:rsid w:val="01FB23CB"/>
    <w:rsid w:val="020263A6"/>
    <w:rsid w:val="02297614"/>
    <w:rsid w:val="024D552A"/>
    <w:rsid w:val="02670003"/>
    <w:rsid w:val="029C1F55"/>
    <w:rsid w:val="02B81885"/>
    <w:rsid w:val="02CF14AA"/>
    <w:rsid w:val="02E30DBC"/>
    <w:rsid w:val="02EA74DA"/>
    <w:rsid w:val="030E453B"/>
    <w:rsid w:val="033C7B51"/>
    <w:rsid w:val="035C6B10"/>
    <w:rsid w:val="03826D43"/>
    <w:rsid w:val="03A42F63"/>
    <w:rsid w:val="041F3E12"/>
    <w:rsid w:val="04467D92"/>
    <w:rsid w:val="046D5972"/>
    <w:rsid w:val="04BC79D1"/>
    <w:rsid w:val="0564268C"/>
    <w:rsid w:val="0592672F"/>
    <w:rsid w:val="05EA6510"/>
    <w:rsid w:val="064268D3"/>
    <w:rsid w:val="065F2600"/>
    <w:rsid w:val="068D758D"/>
    <w:rsid w:val="075D78FC"/>
    <w:rsid w:val="080674B8"/>
    <w:rsid w:val="085801BC"/>
    <w:rsid w:val="087B240D"/>
    <w:rsid w:val="08943796"/>
    <w:rsid w:val="089B2BB8"/>
    <w:rsid w:val="090B5FE1"/>
    <w:rsid w:val="0925299D"/>
    <w:rsid w:val="09623EF2"/>
    <w:rsid w:val="098375FB"/>
    <w:rsid w:val="0A2C0F15"/>
    <w:rsid w:val="0B130004"/>
    <w:rsid w:val="0BA54D96"/>
    <w:rsid w:val="0BB0283D"/>
    <w:rsid w:val="0BB80354"/>
    <w:rsid w:val="0C415D71"/>
    <w:rsid w:val="0C767E33"/>
    <w:rsid w:val="0CEC47C3"/>
    <w:rsid w:val="0D074FED"/>
    <w:rsid w:val="0D337F1E"/>
    <w:rsid w:val="0D473C2E"/>
    <w:rsid w:val="0D635706"/>
    <w:rsid w:val="0D6C2793"/>
    <w:rsid w:val="0D7C44C1"/>
    <w:rsid w:val="0D900286"/>
    <w:rsid w:val="0DF47759"/>
    <w:rsid w:val="0DF72F8F"/>
    <w:rsid w:val="0E381596"/>
    <w:rsid w:val="0E5024E1"/>
    <w:rsid w:val="0EEF0710"/>
    <w:rsid w:val="0EFE4C65"/>
    <w:rsid w:val="0F27347B"/>
    <w:rsid w:val="0F276A6D"/>
    <w:rsid w:val="0F752EA3"/>
    <w:rsid w:val="0FCE22FD"/>
    <w:rsid w:val="0FE2530E"/>
    <w:rsid w:val="10491C47"/>
    <w:rsid w:val="10B33936"/>
    <w:rsid w:val="1121423B"/>
    <w:rsid w:val="11855DCB"/>
    <w:rsid w:val="11915461"/>
    <w:rsid w:val="11AB279D"/>
    <w:rsid w:val="11AE6F8F"/>
    <w:rsid w:val="122968D9"/>
    <w:rsid w:val="132632F9"/>
    <w:rsid w:val="13484B32"/>
    <w:rsid w:val="13800A72"/>
    <w:rsid w:val="13DA081E"/>
    <w:rsid w:val="144B7A97"/>
    <w:rsid w:val="1456146C"/>
    <w:rsid w:val="14B22A7F"/>
    <w:rsid w:val="14ED293C"/>
    <w:rsid w:val="154A7873"/>
    <w:rsid w:val="15995602"/>
    <w:rsid w:val="15B56E2A"/>
    <w:rsid w:val="16051AF0"/>
    <w:rsid w:val="16184950"/>
    <w:rsid w:val="16907AD6"/>
    <w:rsid w:val="16A022AB"/>
    <w:rsid w:val="16AA748F"/>
    <w:rsid w:val="16B212CB"/>
    <w:rsid w:val="16BF2B60"/>
    <w:rsid w:val="17710405"/>
    <w:rsid w:val="17A163FE"/>
    <w:rsid w:val="18C57A32"/>
    <w:rsid w:val="18D269C9"/>
    <w:rsid w:val="18F70FFC"/>
    <w:rsid w:val="19090A5C"/>
    <w:rsid w:val="19B962D6"/>
    <w:rsid w:val="19D3216D"/>
    <w:rsid w:val="19DB276A"/>
    <w:rsid w:val="1A4468FE"/>
    <w:rsid w:val="1A5800E3"/>
    <w:rsid w:val="1AFE63D7"/>
    <w:rsid w:val="1B4F4EDD"/>
    <w:rsid w:val="1B6F4296"/>
    <w:rsid w:val="1B8512BF"/>
    <w:rsid w:val="1BBB420C"/>
    <w:rsid w:val="1BC03F17"/>
    <w:rsid w:val="1C363FCA"/>
    <w:rsid w:val="1C943EEF"/>
    <w:rsid w:val="1CBA66FB"/>
    <w:rsid w:val="1D536262"/>
    <w:rsid w:val="1D5B0F71"/>
    <w:rsid w:val="1DED0970"/>
    <w:rsid w:val="1DF63C54"/>
    <w:rsid w:val="1DFC5A40"/>
    <w:rsid w:val="1EB1426A"/>
    <w:rsid w:val="1EB564C5"/>
    <w:rsid w:val="1F181690"/>
    <w:rsid w:val="1F685851"/>
    <w:rsid w:val="1F8467C0"/>
    <w:rsid w:val="1FD31DCA"/>
    <w:rsid w:val="1FE04F02"/>
    <w:rsid w:val="2055218A"/>
    <w:rsid w:val="20F77BEB"/>
    <w:rsid w:val="214672E7"/>
    <w:rsid w:val="2204230C"/>
    <w:rsid w:val="22873935"/>
    <w:rsid w:val="22946A13"/>
    <w:rsid w:val="22B146CC"/>
    <w:rsid w:val="22BA72A8"/>
    <w:rsid w:val="23A848B2"/>
    <w:rsid w:val="23E2706A"/>
    <w:rsid w:val="242642DB"/>
    <w:rsid w:val="24651B2D"/>
    <w:rsid w:val="249C3CBD"/>
    <w:rsid w:val="24F17DA3"/>
    <w:rsid w:val="258A19A4"/>
    <w:rsid w:val="259077D1"/>
    <w:rsid w:val="2600795C"/>
    <w:rsid w:val="2647305C"/>
    <w:rsid w:val="26492CDC"/>
    <w:rsid w:val="269E51D4"/>
    <w:rsid w:val="26F052A6"/>
    <w:rsid w:val="27EE220F"/>
    <w:rsid w:val="28151CC0"/>
    <w:rsid w:val="28205186"/>
    <w:rsid w:val="282D79F9"/>
    <w:rsid w:val="28F65B07"/>
    <w:rsid w:val="2965200C"/>
    <w:rsid w:val="297916D3"/>
    <w:rsid w:val="29BC0105"/>
    <w:rsid w:val="2A1A63AB"/>
    <w:rsid w:val="2AB770A3"/>
    <w:rsid w:val="2AF44089"/>
    <w:rsid w:val="2B697EA4"/>
    <w:rsid w:val="2B9C641C"/>
    <w:rsid w:val="2BC1667F"/>
    <w:rsid w:val="2C921477"/>
    <w:rsid w:val="2D017EE1"/>
    <w:rsid w:val="2D3C4843"/>
    <w:rsid w:val="2D946162"/>
    <w:rsid w:val="2E566641"/>
    <w:rsid w:val="2EA61897"/>
    <w:rsid w:val="2EA66014"/>
    <w:rsid w:val="2ECC03DE"/>
    <w:rsid w:val="2EF9001C"/>
    <w:rsid w:val="2F053687"/>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564149"/>
    <w:rsid w:val="33576347"/>
    <w:rsid w:val="33833D47"/>
    <w:rsid w:val="338B2FA8"/>
    <w:rsid w:val="348A3241"/>
    <w:rsid w:val="349A7C58"/>
    <w:rsid w:val="34A76F6E"/>
    <w:rsid w:val="34A838D6"/>
    <w:rsid w:val="34CB39E9"/>
    <w:rsid w:val="35507787"/>
    <w:rsid w:val="3566192B"/>
    <w:rsid w:val="35BB3F85"/>
    <w:rsid w:val="361913CE"/>
    <w:rsid w:val="366208C9"/>
    <w:rsid w:val="369968A0"/>
    <w:rsid w:val="373C4DF5"/>
    <w:rsid w:val="376F7781"/>
    <w:rsid w:val="37717401"/>
    <w:rsid w:val="37880D2F"/>
    <w:rsid w:val="379527A2"/>
    <w:rsid w:val="37FE233C"/>
    <w:rsid w:val="37FF078B"/>
    <w:rsid w:val="38650F93"/>
    <w:rsid w:val="3875702F"/>
    <w:rsid w:val="387F0E8A"/>
    <w:rsid w:val="38F21AA3"/>
    <w:rsid w:val="39074CF3"/>
    <w:rsid w:val="392B5A21"/>
    <w:rsid w:val="39343BEA"/>
    <w:rsid w:val="39D733F3"/>
    <w:rsid w:val="3A5E23D3"/>
    <w:rsid w:val="3A8E5120"/>
    <w:rsid w:val="3A954AAB"/>
    <w:rsid w:val="3ADF39E2"/>
    <w:rsid w:val="3B022995"/>
    <w:rsid w:val="3B231786"/>
    <w:rsid w:val="3BD978FA"/>
    <w:rsid w:val="3BFD2D30"/>
    <w:rsid w:val="3C4C0972"/>
    <w:rsid w:val="3CBF2E36"/>
    <w:rsid w:val="3CD31AD7"/>
    <w:rsid w:val="3CEE0102"/>
    <w:rsid w:val="3CFD16D2"/>
    <w:rsid w:val="3D4E1420"/>
    <w:rsid w:val="3D690634"/>
    <w:rsid w:val="3D6B0D9C"/>
    <w:rsid w:val="3DC7550C"/>
    <w:rsid w:val="3E1F757A"/>
    <w:rsid w:val="3E2A2088"/>
    <w:rsid w:val="3E4A28AD"/>
    <w:rsid w:val="3E5F0364"/>
    <w:rsid w:val="3FFA2304"/>
    <w:rsid w:val="40157ED6"/>
    <w:rsid w:val="40356C65"/>
    <w:rsid w:val="409A440B"/>
    <w:rsid w:val="40FE2035"/>
    <w:rsid w:val="411617D6"/>
    <w:rsid w:val="42622E8A"/>
    <w:rsid w:val="428447B2"/>
    <w:rsid w:val="42E510B9"/>
    <w:rsid w:val="42FA77EF"/>
    <w:rsid w:val="42FB2E4B"/>
    <w:rsid w:val="43056A83"/>
    <w:rsid w:val="43DD4F5D"/>
    <w:rsid w:val="43EE0F7F"/>
    <w:rsid w:val="44283C23"/>
    <w:rsid w:val="448A77B2"/>
    <w:rsid w:val="448E6755"/>
    <w:rsid w:val="44DA1B27"/>
    <w:rsid w:val="45562AD0"/>
    <w:rsid w:val="458C2FAA"/>
    <w:rsid w:val="46157EB1"/>
    <w:rsid w:val="46166482"/>
    <w:rsid w:val="46D47B74"/>
    <w:rsid w:val="46D640AA"/>
    <w:rsid w:val="46FF1807"/>
    <w:rsid w:val="47106D8C"/>
    <w:rsid w:val="47565A99"/>
    <w:rsid w:val="478F605D"/>
    <w:rsid w:val="47A603FE"/>
    <w:rsid w:val="47B84838"/>
    <w:rsid w:val="484C25FE"/>
    <w:rsid w:val="489D5DB0"/>
    <w:rsid w:val="48B843DB"/>
    <w:rsid w:val="492E589F"/>
    <w:rsid w:val="4983062C"/>
    <w:rsid w:val="49F153DD"/>
    <w:rsid w:val="4A642A4C"/>
    <w:rsid w:val="4A6C3E97"/>
    <w:rsid w:val="4A96396C"/>
    <w:rsid w:val="4B3B40FA"/>
    <w:rsid w:val="4B737AD7"/>
    <w:rsid w:val="4B7A7462"/>
    <w:rsid w:val="4BDC75E2"/>
    <w:rsid w:val="4BFC4827"/>
    <w:rsid w:val="4C5B2C5A"/>
    <w:rsid w:val="4D3A7EED"/>
    <w:rsid w:val="4D6F6618"/>
    <w:rsid w:val="4D881740"/>
    <w:rsid w:val="4DAD3EFF"/>
    <w:rsid w:val="4DB146E6"/>
    <w:rsid w:val="4E4A6258"/>
    <w:rsid w:val="4E6728FD"/>
    <w:rsid w:val="4E7E09D4"/>
    <w:rsid w:val="4ECD0602"/>
    <w:rsid w:val="4EF16577"/>
    <w:rsid w:val="4F664C06"/>
    <w:rsid w:val="4F8F6EC1"/>
    <w:rsid w:val="4F9714A0"/>
    <w:rsid w:val="4FAA1D01"/>
    <w:rsid w:val="4FC71258"/>
    <w:rsid w:val="502B3F12"/>
    <w:rsid w:val="50330D6F"/>
    <w:rsid w:val="50582D8E"/>
    <w:rsid w:val="50B0059A"/>
    <w:rsid w:val="50C6193C"/>
    <w:rsid w:val="50F04F55"/>
    <w:rsid w:val="51170698"/>
    <w:rsid w:val="511F5251"/>
    <w:rsid w:val="511F5AA4"/>
    <w:rsid w:val="512D0A9D"/>
    <w:rsid w:val="513E2AD6"/>
    <w:rsid w:val="51640797"/>
    <w:rsid w:val="517C3C40"/>
    <w:rsid w:val="51A2722D"/>
    <w:rsid w:val="51A931DD"/>
    <w:rsid w:val="5248717C"/>
    <w:rsid w:val="526712BE"/>
    <w:rsid w:val="52D214C8"/>
    <w:rsid w:val="535B2E50"/>
    <w:rsid w:val="53B87967"/>
    <w:rsid w:val="53BF6572"/>
    <w:rsid w:val="546E4D68"/>
    <w:rsid w:val="54A739F6"/>
    <w:rsid w:val="54B56AB3"/>
    <w:rsid w:val="54D972A0"/>
    <w:rsid w:val="54E37180"/>
    <w:rsid w:val="54F20968"/>
    <w:rsid w:val="552A0190"/>
    <w:rsid w:val="557A3387"/>
    <w:rsid w:val="55802710"/>
    <w:rsid w:val="55CA7E72"/>
    <w:rsid w:val="56321BBE"/>
    <w:rsid w:val="56B31C4E"/>
    <w:rsid w:val="57AE6985"/>
    <w:rsid w:val="582F683A"/>
    <w:rsid w:val="589A0AE2"/>
    <w:rsid w:val="58B62318"/>
    <w:rsid w:val="590B7824"/>
    <w:rsid w:val="597C685E"/>
    <w:rsid w:val="5A0E08D3"/>
    <w:rsid w:val="5A494CAD"/>
    <w:rsid w:val="5A496382"/>
    <w:rsid w:val="5A841633"/>
    <w:rsid w:val="5A8B0CE1"/>
    <w:rsid w:val="5AE75C4B"/>
    <w:rsid w:val="5B3E42C0"/>
    <w:rsid w:val="5BE34A4E"/>
    <w:rsid w:val="5C037501"/>
    <w:rsid w:val="5C9003EA"/>
    <w:rsid w:val="5CC71FCE"/>
    <w:rsid w:val="5CEA77FF"/>
    <w:rsid w:val="5D207CD9"/>
    <w:rsid w:val="5D410290"/>
    <w:rsid w:val="5DAF2632"/>
    <w:rsid w:val="5DEE5DA8"/>
    <w:rsid w:val="5E59414A"/>
    <w:rsid w:val="5E611EA8"/>
    <w:rsid w:val="5EA0364D"/>
    <w:rsid w:val="5ED44DA1"/>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51C8F"/>
    <w:rsid w:val="644D291F"/>
    <w:rsid w:val="64503F79"/>
    <w:rsid w:val="64530FA5"/>
    <w:rsid w:val="64731F0B"/>
    <w:rsid w:val="64A2599C"/>
    <w:rsid w:val="6617798C"/>
    <w:rsid w:val="66430289"/>
    <w:rsid w:val="66AA1D93"/>
    <w:rsid w:val="66D26D27"/>
    <w:rsid w:val="66FD7100"/>
    <w:rsid w:val="670349CA"/>
    <w:rsid w:val="675B449D"/>
    <w:rsid w:val="675E5A5F"/>
    <w:rsid w:val="679226FC"/>
    <w:rsid w:val="67D4101E"/>
    <w:rsid w:val="67EB2D8A"/>
    <w:rsid w:val="67EB721F"/>
    <w:rsid w:val="684C53AD"/>
    <w:rsid w:val="68CC7B01"/>
    <w:rsid w:val="68E67E82"/>
    <w:rsid w:val="69A01157"/>
    <w:rsid w:val="6A0E557B"/>
    <w:rsid w:val="6A2471B2"/>
    <w:rsid w:val="6A5401FE"/>
    <w:rsid w:val="6A721E1D"/>
    <w:rsid w:val="6A7711BA"/>
    <w:rsid w:val="6AFB7215"/>
    <w:rsid w:val="6B3D1E7D"/>
    <w:rsid w:val="6BC81837"/>
    <w:rsid w:val="6BD25174"/>
    <w:rsid w:val="6C3D7044"/>
    <w:rsid w:val="6C4A64A1"/>
    <w:rsid w:val="6DB85CD8"/>
    <w:rsid w:val="6DFB42FF"/>
    <w:rsid w:val="6DFD7802"/>
    <w:rsid w:val="6E4A407E"/>
    <w:rsid w:val="6E992E86"/>
    <w:rsid w:val="6EE73C2D"/>
    <w:rsid w:val="6F113E47"/>
    <w:rsid w:val="6F2443B5"/>
    <w:rsid w:val="6F30705D"/>
    <w:rsid w:val="6F3A720A"/>
    <w:rsid w:val="6F4A5808"/>
    <w:rsid w:val="6FB33650"/>
    <w:rsid w:val="6FF61F32"/>
    <w:rsid w:val="70745987"/>
    <w:rsid w:val="70964DE9"/>
    <w:rsid w:val="70DB4A60"/>
    <w:rsid w:val="71132313"/>
    <w:rsid w:val="712447AC"/>
    <w:rsid w:val="717B51BA"/>
    <w:rsid w:val="7237656E"/>
    <w:rsid w:val="724243C9"/>
    <w:rsid w:val="72500661"/>
    <w:rsid w:val="726E34C9"/>
    <w:rsid w:val="727A3839"/>
    <w:rsid w:val="72EC1B99"/>
    <w:rsid w:val="732C6B7A"/>
    <w:rsid w:val="73785000"/>
    <w:rsid w:val="738A079E"/>
    <w:rsid w:val="7523492C"/>
    <w:rsid w:val="75630AF4"/>
    <w:rsid w:val="756454D6"/>
    <w:rsid w:val="75AF1087"/>
    <w:rsid w:val="75B54947"/>
    <w:rsid w:val="75D44E5F"/>
    <w:rsid w:val="760C71B7"/>
    <w:rsid w:val="76294569"/>
    <w:rsid w:val="7635037C"/>
    <w:rsid w:val="765950B8"/>
    <w:rsid w:val="765A0671"/>
    <w:rsid w:val="768B7978"/>
    <w:rsid w:val="76C57C6B"/>
    <w:rsid w:val="76CF057A"/>
    <w:rsid w:val="77A02812"/>
    <w:rsid w:val="784E1CF0"/>
    <w:rsid w:val="79416D2A"/>
    <w:rsid w:val="795939E6"/>
    <w:rsid w:val="7984759A"/>
    <w:rsid w:val="7A531A3C"/>
    <w:rsid w:val="7ACC0321"/>
    <w:rsid w:val="7AFF21C7"/>
    <w:rsid w:val="7B1750CC"/>
    <w:rsid w:val="7B3429AD"/>
    <w:rsid w:val="7B97A01A"/>
    <w:rsid w:val="7BA74207"/>
    <w:rsid w:val="7BBD75BA"/>
    <w:rsid w:val="7BC94525"/>
    <w:rsid w:val="7C122FF1"/>
    <w:rsid w:val="7C1C1CD5"/>
    <w:rsid w:val="7C896E6C"/>
    <w:rsid w:val="7C96422C"/>
    <w:rsid w:val="7CD97482"/>
    <w:rsid w:val="7D0A22EE"/>
    <w:rsid w:val="7D2F72F0"/>
    <w:rsid w:val="7DD26FEA"/>
    <w:rsid w:val="7E4F51C9"/>
    <w:rsid w:val="7E8E31D1"/>
    <w:rsid w:val="7E8E6A20"/>
    <w:rsid w:val="7F127F47"/>
    <w:rsid w:val="7F255CC0"/>
    <w:rsid w:val="7FB36CBB"/>
    <w:rsid w:val="7FF22B74"/>
    <w:rsid w:val="7FF24572"/>
    <w:rsid w:val="DFFCD1A0"/>
    <w:rsid w:val="EEBFC9BD"/>
    <w:rsid w:val="FFFF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link w:val="25"/>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unhideWhenUsed/>
    <w:qFormat/>
    <w:uiPriority w:val="99"/>
    <w:pPr>
      <w:jc w:val="left"/>
    </w:pPr>
  </w:style>
  <w:style w:type="paragraph" w:styleId="5">
    <w:name w:val="Body Text"/>
    <w:basedOn w:val="1"/>
    <w:next w:val="1"/>
    <w:link w:val="26"/>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30"/>
    <w:unhideWhenUsed/>
    <w:qFormat/>
    <w:uiPriority w:val="99"/>
    <w:pPr>
      <w:ind w:left="100" w:leftChars="2500"/>
    </w:pPr>
  </w:style>
  <w:style w:type="paragraph" w:styleId="8">
    <w:name w:val="Body Text Indent 2"/>
    <w:basedOn w:val="1"/>
    <w:link w:val="27"/>
    <w:qFormat/>
    <w:uiPriority w:val="0"/>
    <w:pPr>
      <w:spacing w:after="120" w:line="480" w:lineRule="auto"/>
      <w:ind w:left="200" w:leftChars="200"/>
    </w:pPr>
  </w:style>
  <w:style w:type="paragraph" w:styleId="9">
    <w:name w:val="Balloon Text"/>
    <w:basedOn w:val="1"/>
    <w:link w:val="3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4"/>
    <w:next w:val="4"/>
    <w:link w:val="40"/>
    <w:semiHidden/>
    <w:unhideWhenUsed/>
    <w:qFormat/>
    <w:uiPriority w:val="99"/>
    <w:rPr>
      <w:b/>
      <w:bCs/>
    </w:rPr>
  </w:style>
  <w:style w:type="paragraph" w:styleId="14">
    <w:name w:val="Body Text First Indent"/>
    <w:basedOn w:val="5"/>
    <w:qFormat/>
    <w:uiPriority w:val="0"/>
    <w:pPr>
      <w:spacing w:after="120"/>
      <w:ind w:firstLine="420"/>
    </w:pPr>
    <w:rPr>
      <w:rFonts w:eastAsia="宋体"/>
      <w:kern w:val="2"/>
      <w:sz w:val="21"/>
      <w:szCs w:val="20"/>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3"/>
    <w:qFormat/>
    <w:uiPriority w:val="0"/>
    <w:rPr>
      <w:rFonts w:ascii="Times New Roman" w:hAnsi="Times New Roman" w:eastAsia="宋体" w:cs="Times New Roman"/>
      <w:b/>
      <w:caps/>
      <w:color w:val="0000FF"/>
      <w:kern w:val="36"/>
      <w:sz w:val="22"/>
      <w:lang w:eastAsia="ko-KR"/>
    </w:rPr>
  </w:style>
  <w:style w:type="character" w:customStyle="1" w:styleId="25">
    <w:name w:val="标题 2 字符"/>
    <w:basedOn w:val="17"/>
    <w:link w:val="2"/>
    <w:qFormat/>
    <w:uiPriority w:val="0"/>
    <w:rPr>
      <w:rFonts w:ascii="Times New Roman" w:hAnsi="Times New Roman" w:eastAsia="宋体" w:cs="Times New Roman"/>
      <w:b/>
      <w:color w:val="0000FF"/>
      <w:kern w:val="0"/>
      <w:sz w:val="22"/>
      <w:lang w:eastAsia="ko-KR"/>
    </w:rPr>
  </w:style>
  <w:style w:type="character" w:customStyle="1" w:styleId="26">
    <w:name w:val="正文文本 字符"/>
    <w:basedOn w:val="17"/>
    <w:link w:val="5"/>
    <w:qFormat/>
    <w:uiPriority w:val="0"/>
    <w:rPr>
      <w:rFonts w:ascii="Times New Roman" w:hAnsi="Times New Roman" w:eastAsia="Batang" w:cs="Times New Roman"/>
      <w:kern w:val="0"/>
      <w:sz w:val="22"/>
      <w:lang w:eastAsia="ko-KR"/>
    </w:rPr>
  </w:style>
  <w:style w:type="character" w:customStyle="1" w:styleId="27">
    <w:name w:val="正文文本缩进 2 字符"/>
    <w:basedOn w:val="17"/>
    <w:link w:val="8"/>
    <w:qFormat/>
    <w:uiPriority w:val="0"/>
    <w:rPr>
      <w:rFonts w:ascii="Times New Roman" w:hAnsi="Times New Roman" w:eastAsia="宋体" w:cs="Times New Roman"/>
      <w:szCs w:val="20"/>
    </w:rPr>
  </w:style>
  <w:style w:type="paragraph" w:customStyle="1" w:styleId="28">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9">
    <w:name w:val="Normal (Justified)"/>
    <w:basedOn w:val="1"/>
    <w:qFormat/>
    <w:uiPriority w:val="0"/>
    <w:pPr>
      <w:widowControl/>
    </w:pPr>
    <w:rPr>
      <w:snapToGrid w:val="0"/>
      <w:kern w:val="28"/>
      <w:sz w:val="24"/>
    </w:rPr>
  </w:style>
  <w:style w:type="character" w:customStyle="1" w:styleId="30">
    <w:name w:val="日期 字符"/>
    <w:basedOn w:val="17"/>
    <w:link w:val="7"/>
    <w:semiHidden/>
    <w:qFormat/>
    <w:uiPriority w:val="99"/>
    <w:rPr>
      <w:rFonts w:ascii="Times New Roman" w:hAnsi="Times New Roman" w:eastAsia="宋体" w:cs="Times New Roman"/>
      <w:szCs w:val="20"/>
    </w:rPr>
  </w:style>
  <w:style w:type="character" w:customStyle="1" w:styleId="31">
    <w:name w:val="批注框文本 字符"/>
    <w:basedOn w:val="17"/>
    <w:link w:val="9"/>
    <w:semiHidden/>
    <w:qFormat/>
    <w:uiPriority w:val="99"/>
    <w:rPr>
      <w:rFonts w:ascii="Times New Roman" w:hAnsi="Times New Roman" w:eastAsia="宋体" w:cs="Times New Roman"/>
      <w:sz w:val="18"/>
      <w:szCs w:val="18"/>
    </w:rPr>
  </w:style>
  <w:style w:type="paragraph" w:customStyle="1" w:styleId="32">
    <w:name w:val="Char Char Char"/>
    <w:basedOn w:val="1"/>
    <w:qFormat/>
    <w:uiPriority w:val="0"/>
    <w:pPr>
      <w:adjustRightInd w:val="0"/>
    </w:pPr>
    <w:rPr>
      <w:szCs w:val="24"/>
    </w:rPr>
  </w:style>
  <w:style w:type="paragraph" w:customStyle="1" w:styleId="33">
    <w:name w:val="列出段落1"/>
    <w:basedOn w:val="1"/>
    <w:unhideWhenUsed/>
    <w:qFormat/>
    <w:uiPriority w:val="99"/>
    <w:pPr>
      <w:ind w:firstLine="420" w:firstLineChars="200"/>
    </w:pPr>
  </w:style>
  <w:style w:type="paragraph" w:customStyle="1" w:styleId="34">
    <w:name w:val="Char Char Char1"/>
    <w:basedOn w:val="1"/>
    <w:qFormat/>
    <w:uiPriority w:val="0"/>
    <w:pPr>
      <w:adjustRightInd w:val="0"/>
    </w:pPr>
    <w:rPr>
      <w:szCs w:val="24"/>
    </w:rPr>
  </w:style>
  <w:style w:type="paragraph" w:customStyle="1" w:styleId="35">
    <w:name w:val="Date1"/>
    <w:basedOn w:val="1"/>
    <w:next w:val="29"/>
    <w:link w:val="36"/>
    <w:qFormat/>
    <w:uiPriority w:val="0"/>
    <w:pPr>
      <w:widowControl/>
      <w:spacing w:after="200" w:line="276" w:lineRule="auto"/>
      <w:jc w:val="center"/>
    </w:pPr>
    <w:rPr>
      <w:kern w:val="0"/>
      <w:sz w:val="24"/>
    </w:rPr>
  </w:style>
  <w:style w:type="character" w:customStyle="1" w:styleId="36">
    <w:name w:val="Date Char Char"/>
    <w:link w:val="35"/>
    <w:qFormat/>
    <w:uiPriority w:val="0"/>
    <w:rPr>
      <w:sz w:val="24"/>
    </w:rPr>
  </w:style>
  <w:style w:type="character" w:customStyle="1" w:styleId="37">
    <w:name w:val="type11"/>
    <w:qFormat/>
    <w:uiPriority w:val="0"/>
    <w:rPr>
      <w:rFonts w:ascii="Times New Roman" w:hAnsi="Times New Roman" w:eastAsia="宋体" w:cs="Times New Roman"/>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17"/>
    <w:link w:val="4"/>
    <w:qFormat/>
    <w:uiPriority w:val="99"/>
    <w:rPr>
      <w:kern w:val="2"/>
      <w:sz w:val="21"/>
    </w:rPr>
  </w:style>
  <w:style w:type="character" w:customStyle="1" w:styleId="40">
    <w:name w:val="批注主题 字符"/>
    <w:basedOn w:val="39"/>
    <w:link w:val="13"/>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35</Pages>
  <Words>3104</Words>
  <Characters>17699</Characters>
  <Lines>147</Lines>
  <Paragraphs>41</Paragraphs>
  <TotalTime>24</TotalTime>
  <ScaleCrop>false</ScaleCrop>
  <LinksUpToDate>false</LinksUpToDate>
  <CharactersWithSpaces>20762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2012-12-06T00:25:00Z</dcterms:created>
  <dc:creator>张媛媛</dc:creator>
  <cp:lastModifiedBy>龙瀛</cp:lastModifiedBy>
  <cp:lastPrinted>2017-11-07T19:15:00Z</cp:lastPrinted>
  <dcterms:modified xsi:type="dcterms:W3CDTF">2026-05-19T09:27:49Z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7A8DEC92D6C47BDBA81A0C6AA80CFF6E_43</vt:lpwstr>
  </property>
</Properties>
</file>